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2B001">
      <w:pPr>
        <w:rPr>
          <w:rFonts w:ascii="Times New Roman" w:hAnsi="Times New Roman" w:eastAsia="方正仿宋_GBK"/>
          <w:b/>
          <w:bCs/>
          <w:sz w:val="24"/>
        </w:rPr>
      </w:pPr>
      <w:r>
        <w:rPr>
          <w:rFonts w:hint="eastAsia" w:ascii="Times New Roman" w:hAnsi="Times New Roman" w:eastAsia="方正仿宋_GBK"/>
          <w:b/>
          <w:bCs/>
          <w:sz w:val="24"/>
        </w:rPr>
        <w:t>附件：</w:t>
      </w:r>
    </w:p>
    <w:p w14:paraId="0C2D3CFF">
      <w:pPr>
        <w:jc w:val="center"/>
        <w:rPr>
          <w:rFonts w:hint="eastAsia" w:ascii="Times New Roman" w:hAnsi="Times New Roman" w:eastAsia="方正小标宋_GBK"/>
          <w:sz w:val="36"/>
          <w:szCs w:val="24"/>
        </w:rPr>
      </w:pPr>
      <w:r>
        <w:rPr>
          <w:rFonts w:hint="eastAsia" w:ascii="Times New Roman" w:hAnsi="Times New Roman" w:eastAsia="方正小标宋_GBK"/>
          <w:sz w:val="36"/>
          <w:szCs w:val="24"/>
        </w:rPr>
        <w:t>无锡市锡山区</w:t>
      </w:r>
      <w:r>
        <w:rPr>
          <w:rFonts w:hint="eastAsia" w:ascii="Times New Roman" w:hAnsi="Times New Roman" w:eastAsia="方正小标宋_GBK"/>
          <w:sz w:val="36"/>
          <w:szCs w:val="24"/>
          <w:lang w:eastAsia="zh-CN"/>
        </w:rPr>
        <w:t>2021-02-05</w:t>
      </w:r>
      <w:r>
        <w:rPr>
          <w:rFonts w:hint="eastAsia" w:ascii="Times New Roman" w:hAnsi="Times New Roman" w:eastAsia="方正小标宋_GBK"/>
          <w:sz w:val="36"/>
          <w:szCs w:val="24"/>
        </w:rPr>
        <w:t>号片区土地征收</w:t>
      </w:r>
    </w:p>
    <w:p w14:paraId="1E46C605">
      <w:pPr>
        <w:jc w:val="center"/>
        <w:rPr>
          <w:rFonts w:ascii="Times New Roman" w:hAnsi="Times New Roman" w:eastAsia="方正小标宋_GBK"/>
          <w:sz w:val="36"/>
          <w:szCs w:val="24"/>
        </w:rPr>
      </w:pPr>
      <w:r>
        <w:rPr>
          <w:rFonts w:hint="eastAsia" w:ascii="Times New Roman" w:hAnsi="Times New Roman" w:eastAsia="方正小标宋_GBK"/>
          <w:sz w:val="36"/>
          <w:szCs w:val="24"/>
        </w:rPr>
        <w:t>成片开发调整方案</w:t>
      </w:r>
    </w:p>
    <w:p w14:paraId="1C277560">
      <w:pPr>
        <w:jc w:val="center"/>
        <w:rPr>
          <w:rFonts w:ascii="Times New Roman" w:hAnsi="Times New Roman" w:eastAsia="方正小标宋_GBK"/>
          <w:sz w:val="36"/>
          <w:szCs w:val="24"/>
        </w:rPr>
      </w:pPr>
      <w:r>
        <w:rPr>
          <w:rFonts w:hint="eastAsia" w:ascii="Times New Roman" w:hAnsi="Times New Roman" w:eastAsia="方正小标宋_GBK"/>
          <w:sz w:val="36"/>
          <w:szCs w:val="24"/>
        </w:rPr>
        <w:t>（征求意见稿）</w:t>
      </w:r>
    </w:p>
    <w:p w14:paraId="30CEA94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背景</w:t>
      </w:r>
    </w:p>
    <w:p w14:paraId="03402A7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为贯彻落实《中华人民共和国土地管理法》和《自然资源部关于印发&lt;土地征收成片开发标准&gt;的通知》（自然资规〔2023〕7号）、《江苏省自然资源厅关于开展土地征收成片开发方案编制工作的通知》（苏自然资函〔2021〕15号）、《江苏省自然资源厅关于加快推进土地征收成片开发方案编制工作的通知》（苏自然资发〔2021〕138号）、《江苏省自然资源厅关于深入推进土地征收成片开发方案编制工作的通知》（苏自然资函〔2024〕939号）以及《无锡市自然资源和规划局关于规范做好土地征收成片开发方案审批工作的通知》（锡自然资规发〔2023〕120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4FA9B068">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片区基本情况</w:t>
      </w:r>
    </w:p>
    <w:p w14:paraId="3BE160D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无锡市锡山区</w:t>
      </w:r>
      <w:r>
        <w:rPr>
          <w:rFonts w:hint="eastAsia" w:ascii="Times New Roman" w:hAnsi="Times New Roman" w:eastAsia="仿宋_GB2312"/>
          <w:sz w:val="24"/>
          <w:highlight w:val="none"/>
          <w:lang w:eastAsia="zh-CN"/>
        </w:rPr>
        <w:t>2021-02-05</w:t>
      </w:r>
      <w:r>
        <w:rPr>
          <w:rFonts w:hint="eastAsia" w:ascii="Times New Roman" w:hAnsi="Times New Roman" w:eastAsia="仿宋_GB2312"/>
          <w:sz w:val="24"/>
          <w:highlight w:val="none"/>
        </w:rPr>
        <w:t>号片区土地征收成片开发调整方案共包括1个片区，位于</w:t>
      </w:r>
      <w:r>
        <w:rPr>
          <w:rFonts w:hint="eastAsia" w:ascii="Times New Roman" w:hAnsi="Times New Roman" w:eastAsia="仿宋_GB2312"/>
          <w:sz w:val="24"/>
          <w:highlight w:val="none"/>
          <w:lang w:eastAsia="zh-CN"/>
        </w:rPr>
        <w:t>东港镇</w:t>
      </w:r>
      <w:r>
        <w:rPr>
          <w:rFonts w:hint="eastAsia" w:ascii="Times New Roman" w:hAnsi="Times New Roman" w:eastAsia="仿宋_GB2312"/>
          <w:sz w:val="24"/>
          <w:highlight w:val="none"/>
        </w:rPr>
        <w:t>，片区总面积</w:t>
      </w:r>
      <w:r>
        <w:rPr>
          <w:rFonts w:hint="eastAsia" w:ascii="Times New Roman" w:hAnsi="Times New Roman" w:eastAsia="仿宋_GB2312"/>
          <w:sz w:val="24"/>
          <w:highlight w:val="none"/>
          <w:lang w:eastAsia="zh-CN"/>
        </w:rPr>
        <w:t>317.4676</w:t>
      </w:r>
      <w:r>
        <w:rPr>
          <w:rFonts w:hint="eastAsia" w:ascii="Times New Roman" w:hAnsi="Times New Roman" w:eastAsia="仿宋_GB2312"/>
          <w:sz w:val="24"/>
          <w:highlight w:val="none"/>
        </w:rPr>
        <w:t>公顷（片区范围和面积以最终批复为准），片区布局集中连片，形态相对完整，具备成片开发条件。开发片区基本情况如下表：</w:t>
      </w:r>
    </w:p>
    <w:p w14:paraId="504C3D5E">
      <w:pPr>
        <w:spacing w:line="360" w:lineRule="auto"/>
        <w:jc w:val="center"/>
        <w:rPr>
          <w:rFonts w:ascii="Times New Roman" w:hAnsi="Times New Roman" w:eastAsia="仿宋_GB2312"/>
          <w:sz w:val="24"/>
          <w:highlight w:val="none"/>
        </w:rPr>
      </w:pPr>
      <w:r>
        <w:rPr>
          <w:rFonts w:hint="eastAsia" w:ascii="Times New Roman" w:hAnsi="Times New Roman" w:eastAsia="仿宋_GB2312"/>
          <w:sz w:val="24"/>
          <w:highlight w:val="none"/>
        </w:rPr>
        <w:t>表1</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开发片区基本情况表</w:t>
      </w:r>
    </w:p>
    <w:p w14:paraId="17DB1A44">
      <w:pPr>
        <w:spacing w:line="360" w:lineRule="auto"/>
        <w:jc w:val="right"/>
        <w:rPr>
          <w:rFonts w:ascii="Times New Roman" w:hAnsi="Times New Roman" w:eastAsia="仿宋_GB2312"/>
          <w:sz w:val="24"/>
          <w:highlight w:val="none"/>
        </w:rPr>
      </w:pPr>
      <w:r>
        <w:rPr>
          <w:rFonts w:hint="eastAsia" w:ascii="Times New Roman" w:hAnsi="Times New Roman" w:eastAsia="仿宋_GB2312"/>
          <w:sz w:val="24"/>
          <w:highlight w:val="none"/>
        </w:rPr>
        <w:t>单位：公顷</w:t>
      </w: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301"/>
        <w:gridCol w:w="1399"/>
        <w:gridCol w:w="2417"/>
        <w:gridCol w:w="1911"/>
      </w:tblGrid>
      <w:tr w14:paraId="4857C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4B8B5162">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片区名称</w:t>
            </w:r>
          </w:p>
        </w:tc>
        <w:tc>
          <w:tcPr>
            <w:tcW w:w="745" w:type="pct"/>
            <w:vAlign w:val="center"/>
          </w:tcPr>
          <w:p w14:paraId="3ABDFCA9">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片区面积</w:t>
            </w:r>
          </w:p>
        </w:tc>
        <w:tc>
          <w:tcPr>
            <w:tcW w:w="801" w:type="pct"/>
            <w:vAlign w:val="center"/>
          </w:tcPr>
          <w:p w14:paraId="2592B3FE">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所在乡镇</w:t>
            </w:r>
          </w:p>
        </w:tc>
        <w:tc>
          <w:tcPr>
            <w:tcW w:w="1384" w:type="pct"/>
            <w:vAlign w:val="center"/>
          </w:tcPr>
          <w:p w14:paraId="080FCD86">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四至范围</w:t>
            </w:r>
          </w:p>
        </w:tc>
        <w:tc>
          <w:tcPr>
            <w:tcW w:w="1094" w:type="pct"/>
            <w:vAlign w:val="center"/>
          </w:tcPr>
          <w:p w14:paraId="614C54A3">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功能定位和主要用途</w:t>
            </w:r>
          </w:p>
        </w:tc>
      </w:tr>
      <w:tr w14:paraId="153E3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6B29C8DA">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东湖塘片区</w:t>
            </w:r>
          </w:p>
        </w:tc>
        <w:tc>
          <w:tcPr>
            <w:tcW w:w="745" w:type="pct"/>
            <w:vAlign w:val="center"/>
          </w:tcPr>
          <w:p w14:paraId="3D0B361A">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317.4676</w:t>
            </w:r>
          </w:p>
        </w:tc>
        <w:tc>
          <w:tcPr>
            <w:tcW w:w="801" w:type="pct"/>
            <w:vAlign w:val="center"/>
          </w:tcPr>
          <w:p w14:paraId="7227544A">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东港镇</w:t>
            </w:r>
          </w:p>
        </w:tc>
        <w:tc>
          <w:tcPr>
            <w:tcW w:w="1384" w:type="pct"/>
            <w:vAlign w:val="center"/>
          </w:tcPr>
          <w:p w14:paraId="69D99AB5">
            <w:pP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东至东廊路，南至规划道路，西至黄土塘路，北至创业路。</w:t>
            </w:r>
          </w:p>
        </w:tc>
        <w:tc>
          <w:tcPr>
            <w:tcW w:w="1094" w:type="pct"/>
            <w:vAlign w:val="center"/>
          </w:tcPr>
          <w:p w14:paraId="5C110D76">
            <w:pPr>
              <w:jc w:val="center"/>
              <w:rPr>
                <w:rFonts w:hint="eastAsia" w:ascii="Times New Roman" w:hAnsi="Times New Roman" w:eastAsia="仿宋_GB2312"/>
                <w:sz w:val="18"/>
                <w:szCs w:val="16"/>
                <w:highlight w:val="none"/>
                <w:lang w:val="en-US" w:eastAsia="zh-CN"/>
              </w:rPr>
            </w:pPr>
            <w:r>
              <w:rPr>
                <w:rFonts w:hint="eastAsia" w:ascii="Times New Roman" w:hAnsi="Times New Roman" w:eastAsia="仿宋_GB2312"/>
                <w:sz w:val="18"/>
                <w:szCs w:val="16"/>
                <w:highlight w:val="none"/>
              </w:rPr>
              <w:t>产城融合</w:t>
            </w:r>
            <w:r>
              <w:rPr>
                <w:rFonts w:hint="eastAsia" w:ascii="Times New Roman" w:hAnsi="Times New Roman" w:eastAsia="仿宋_GB2312"/>
                <w:sz w:val="18"/>
                <w:szCs w:val="16"/>
                <w:highlight w:val="none"/>
                <w:lang w:val="en-US" w:eastAsia="zh-CN"/>
              </w:rPr>
              <w:t>型</w:t>
            </w:r>
          </w:p>
        </w:tc>
      </w:tr>
    </w:tbl>
    <w:p w14:paraId="0FC7B5CD">
      <w:pPr>
        <w:spacing w:line="360" w:lineRule="auto"/>
        <w:jc w:val="center"/>
        <w:rPr>
          <w:rFonts w:ascii="Times New Roman" w:hAnsi="Times New Roman" w:eastAsia="仿宋_GB2312"/>
          <w:sz w:val="24"/>
          <w:highlight w:val="none"/>
        </w:rPr>
      </w:pPr>
      <w:r>
        <w:rPr>
          <w:rFonts w:ascii="Times New Roman" w:hAnsi="Times New Roman" w:eastAsia="仿宋_GB2312"/>
          <w:sz w:val="24"/>
          <w:highlight w:val="none"/>
        </w:rPr>
        <w:drawing>
          <wp:inline distT="0" distB="0" distL="0" distR="0">
            <wp:extent cx="5274310" cy="3728720"/>
            <wp:effectExtent l="0" t="0" r="13970" b="5080"/>
            <wp:docPr id="1578323339" name="图片 1" descr="E:/2026年度/01成片开发/04东湖塘片区调整/0128网上公示/无标题.jpg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323339" name="图片 1" descr="E:/2026年度/01成片开发/04东湖塘片区调整/0128网上公示/无标题.jpg无标题"/>
                    <pic:cNvPicPr>
                      <a:picLocks noChangeAspect="1"/>
                    </pic:cNvPicPr>
                  </pic:nvPicPr>
                  <pic:blipFill>
                    <a:blip r:embed="rId4"/>
                    <a:srcRect t="12" b="12"/>
                    <a:stretch>
                      <a:fillRect/>
                    </a:stretch>
                  </pic:blipFill>
                  <pic:spPr>
                    <a:xfrm>
                      <a:off x="0" y="0"/>
                      <a:ext cx="5274310" cy="3728720"/>
                    </a:xfrm>
                    <a:prstGeom prst="rect">
                      <a:avLst/>
                    </a:prstGeom>
                  </pic:spPr>
                </pic:pic>
              </a:graphicData>
            </a:graphic>
          </wp:inline>
        </w:drawing>
      </w:r>
    </w:p>
    <w:p w14:paraId="7B963137">
      <w:pPr>
        <w:spacing w:line="360" w:lineRule="auto"/>
        <w:jc w:val="center"/>
        <w:rPr>
          <w:rFonts w:ascii="Times New Roman" w:hAnsi="Times New Roman" w:eastAsia="仿宋_GB2312"/>
          <w:sz w:val="24"/>
          <w:highlight w:val="none"/>
        </w:rPr>
      </w:pPr>
      <w:r>
        <w:rPr>
          <w:rFonts w:hint="eastAsia" w:ascii="Times New Roman" w:hAnsi="Times New Roman" w:eastAsia="仿宋_GB2312"/>
          <w:sz w:val="24"/>
          <w:highlight w:val="none"/>
        </w:rPr>
        <w:t>图1</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片区范围示意图</w:t>
      </w:r>
    </w:p>
    <w:p w14:paraId="4BEB1094">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成片开发的必要性</w:t>
      </w:r>
    </w:p>
    <w:p w14:paraId="13E7D28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根据《中华人民共和国土地管理法》、《自然资源部关于印发&lt;土地征收成片开发标准（试行）&gt;的通知》（自然资规〔2020〕5号）、《江苏省自然资源厅关于开展土地征收成片开发方案编制工作的通知》（苏自然资函〔2021〕15号）等文件要求，结合</w:t>
      </w:r>
      <w:r>
        <w:rPr>
          <w:rFonts w:hint="eastAsia" w:ascii="Times New Roman" w:hAnsi="Times New Roman" w:eastAsia="仿宋_GB2312"/>
          <w:sz w:val="24"/>
          <w:highlight w:val="none"/>
          <w:lang w:eastAsia="zh-CN"/>
        </w:rPr>
        <w:t>东港镇</w:t>
      </w:r>
      <w:r>
        <w:rPr>
          <w:rFonts w:hint="eastAsia" w:ascii="Times New Roman" w:hAnsi="Times New Roman" w:eastAsia="仿宋_GB2312"/>
          <w:sz w:val="24"/>
          <w:highlight w:val="none"/>
        </w:rPr>
        <w:t>用地需求，锡山区人民政府委托无锡市自然资源和规划局锡山分局组织编制了《无锡市锡山区2021-02号土地征收成片开发方案》，并于2021年12月取得《江苏省自然资源厅关于批准无锡市滨湖区2021-02号等2个土地征收成片开发方案的函》（苏自然资函〔2021〕1483 号）。方案批复后，片区内部分地块已征收完毕，正在有序建设中。根据《自然资源部关于印发〈土地征收成片开发标准〉的通知》（自然资规〔2023〕7号）、《江苏省自然资源厅关于深入推进土地征收成片开发方案编制工作的通知》（苏自然资函〔2024〕939号）以及刚批复的无锡市锡山区国土空间总体规划（2021—2035 年），为衔接各项政策要求，需要对《无锡市锡山区2021-02号土地征收成片开发方案》中的</w:t>
      </w:r>
      <w:r>
        <w:rPr>
          <w:rFonts w:hint="eastAsia" w:ascii="Times New Roman" w:hAnsi="Times New Roman" w:eastAsia="仿宋_GB2312"/>
          <w:sz w:val="24"/>
          <w:highlight w:val="none"/>
          <w:lang w:eastAsia="zh-CN"/>
        </w:rPr>
        <w:t>东湖塘片区</w:t>
      </w:r>
      <w:r>
        <w:rPr>
          <w:rFonts w:hint="eastAsia" w:ascii="Times New Roman" w:hAnsi="Times New Roman" w:eastAsia="仿宋_GB2312"/>
          <w:sz w:val="24"/>
          <w:highlight w:val="none"/>
        </w:rPr>
        <w:t>（CP320205-</w:t>
      </w:r>
      <w:r>
        <w:rPr>
          <w:rFonts w:hint="eastAsia" w:ascii="Times New Roman" w:hAnsi="Times New Roman" w:eastAsia="仿宋_GB2312"/>
          <w:sz w:val="24"/>
          <w:highlight w:val="none"/>
          <w:lang w:eastAsia="zh-CN"/>
        </w:rPr>
        <w:t>2021-02-05</w:t>
      </w:r>
      <w:r>
        <w:rPr>
          <w:rFonts w:hint="eastAsia" w:ascii="Times New Roman" w:hAnsi="Times New Roman" w:eastAsia="仿宋_GB2312"/>
          <w:sz w:val="24"/>
          <w:highlight w:val="none"/>
        </w:rPr>
        <w:t>）进行方案调整，以此来解决局部征地问题，从而有利于承接产业升级需求，吸引优质项目落地，增强区域经济活力</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同时统筹居住、生态与公共服务配套，解决职住平衡问题，提升人居环境，实现生产、生活、生态协同发展，为新型城镇化与可持续发展提供支撑。</w:t>
      </w:r>
    </w:p>
    <w:p w14:paraId="3F83AFC6">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开发实施计划</w:t>
      </w:r>
    </w:p>
    <w:p w14:paraId="39FB240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2021-02-05</w:t>
      </w:r>
      <w:r>
        <w:rPr>
          <w:rFonts w:hint="eastAsia" w:ascii="Times New Roman" w:hAnsi="Times New Roman" w:eastAsia="仿宋_GB2312"/>
          <w:sz w:val="24"/>
        </w:rPr>
        <w:t>号片区土地征收成片开发调整方案计划在获取批复后分批次启动土地征收工作，成片开发范围内拟建设项目有工业用地</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居住用地</w:t>
      </w:r>
      <w:r>
        <w:rPr>
          <w:rFonts w:hint="eastAsia" w:ascii="Times New Roman" w:hAnsi="Times New Roman" w:eastAsia="仿宋_GB2312"/>
          <w:sz w:val="24"/>
        </w:rPr>
        <w:t>及配套建设基础设施类项目。</w:t>
      </w:r>
    </w:p>
    <w:p w14:paraId="72A13BD6">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规划、计划符合情况</w:t>
      </w:r>
    </w:p>
    <w:p w14:paraId="2E817C2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1、符合国民经济和社会发展规划、年度计划</w:t>
      </w:r>
    </w:p>
    <w:p w14:paraId="38849DF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本次方案符合无锡市锡山区国民经济和社会发展规划、年度计划。</w:t>
      </w:r>
    </w:p>
    <w:p w14:paraId="52ABDBC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2、符合相关红线管控要求</w:t>
      </w:r>
    </w:p>
    <w:p w14:paraId="261A2D3E">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本次方案与《无锡市锡山区国土空间总体规划（2021—2035年）》进行了充分衔接，未涉及锡山区永久基本农田和生态保护红线。</w:t>
      </w:r>
    </w:p>
    <w:p w14:paraId="55466ADB">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本次方案土地征收成片开发内容符合《江苏省生态空间管控区域规划》的要求，开发片区未涉及江苏省生态空间管控区域。</w:t>
      </w:r>
    </w:p>
    <w:p w14:paraId="097E2A6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3、符合城镇开发边界管控要求</w:t>
      </w:r>
    </w:p>
    <w:p w14:paraId="482D78E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本次方案与《无锡市锡山区国土空间总体规划（2021—2035年）》进行了充分衔接，片区位于划定的城镇开发边界范围内。</w:t>
      </w:r>
    </w:p>
    <w:p w14:paraId="1383F45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4、与控制性详细规划衔接情况</w:t>
      </w:r>
    </w:p>
    <w:p w14:paraId="4841467B">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的土地征收成片开发范围布局在锡山区控制性详细规划单元内，符合城市、街镇规划发展方向，成片开发片区内规划建设项目类型也与所在单元控制性详细规划中的地块规划用途一致，符合所在区域功能定位。</w:t>
      </w:r>
    </w:p>
    <w:p w14:paraId="0B39C23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5、与其他规划的衔接</w:t>
      </w:r>
    </w:p>
    <w:p w14:paraId="41DC702D">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根据《江苏省湿地保护条例（2024年修订）》《江苏省湖泊保护条例》《江苏省水域保护办法》《江苏省湖泊保护名录（2021修编）》《江苏省骨干河道名录（2018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40C8510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片区不涉及占用“十二五”以来高标准农田上图入库成果，不涉及占用“两区”划定的粮食生产功能区和重要农产品生产保护区。</w:t>
      </w:r>
    </w:p>
    <w:p w14:paraId="5FD95BD9">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片区不涉及各级各类自然保护地。</w:t>
      </w:r>
    </w:p>
    <w:p w14:paraId="30A579A9">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效益评价</w:t>
      </w:r>
    </w:p>
    <w:p w14:paraId="57391C77">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1、经济效益</w:t>
      </w:r>
    </w:p>
    <w:p w14:paraId="4505D36D">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片区开发具有一定的经济效益。</w:t>
      </w:r>
      <w:r>
        <w:rPr>
          <w:rFonts w:hint="eastAsia" w:ascii="Times New Roman" w:hAnsi="Times New Roman" w:eastAsia="仿宋_GB2312"/>
          <w:sz w:val="24"/>
          <w:highlight w:val="none"/>
          <w:lang w:val="en-US" w:eastAsia="zh-CN"/>
        </w:rPr>
        <w:t>产业集聚效应吸引上下游企业入驻，形成规模经济，降低企业运营成本并提升区域竞争力。土地增值带动投资增长，增加地方财政收入。增加就业岗位促进居民收入增长，拉动消费需求。</w:t>
      </w:r>
    </w:p>
    <w:p w14:paraId="0B8CE068">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2、社会效益</w:t>
      </w:r>
    </w:p>
    <w:p w14:paraId="3689A729">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片区开发具有一定的社会效益。</w:t>
      </w:r>
      <w:r>
        <w:rPr>
          <w:rFonts w:hint="eastAsia" w:ascii="Times New Roman" w:hAnsi="Times New Roman" w:eastAsia="仿宋_GB2312"/>
          <w:sz w:val="24"/>
          <w:highlight w:val="none"/>
          <w:lang w:val="en-US" w:eastAsia="zh-CN"/>
        </w:rPr>
        <w:t>片区为产城融合型片区，减少长距离通勤，缓解交通压力，提升居民幸福感。多元产业生态提供多层次就业机会，促进社会阶层流动和人才聚集，增强城市活力。此外，通过完善教育、医疗、文化等设施，增强社会凝聚力，推动城乡一体化发展。</w:t>
      </w:r>
    </w:p>
    <w:p w14:paraId="59DE9E45">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3、生态效益</w:t>
      </w:r>
    </w:p>
    <w:p w14:paraId="4C6A96C1">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片区开发具有一定的生态效益。</w:t>
      </w:r>
      <w:r>
        <w:rPr>
          <w:rFonts w:hint="eastAsia" w:ascii="Times New Roman" w:hAnsi="Times New Roman" w:eastAsia="仿宋_GB2312"/>
          <w:sz w:val="24"/>
          <w:highlight w:val="none"/>
          <w:lang w:val="en-US" w:eastAsia="zh-CN"/>
        </w:rPr>
        <w:t>通过科学规划降低开发强度，保留生态廊道和绿地系统，维护生物多样性。产业与城市功能混合布局减少能源消耗与碳排放，推广绿色建筑和清洁能源应用，提升资源循环利用效率。</w:t>
      </w:r>
    </w:p>
    <w:p w14:paraId="30265437">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征地农民利益保障</w:t>
      </w:r>
    </w:p>
    <w:p w14:paraId="49797D4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依据《省政府关于印发江苏省被征地农民社会保障办法的通知》（苏政发〔2021〕87号）要求，征地后，将被征地农民全部纳入城乡社会保障体系。此外，依据《省政府关于印发江苏省被征地农民社会保障办法的通</w:t>
      </w:r>
      <w:bookmarkStart w:id="0" w:name="_GoBack"/>
      <w:bookmarkEnd w:id="0"/>
      <w:r>
        <w:rPr>
          <w:rFonts w:hint="eastAsia" w:ascii="Times New Roman" w:hAnsi="Times New Roman" w:eastAsia="仿宋_GB2312"/>
          <w:sz w:val="24"/>
        </w:rPr>
        <w:t>知》（苏政发〔2021〕87号）及《无锡市人民政府关于贯彻落实江苏省被征地农民社会保障办法的实施意见》（锡政规〔2023〕4号）文件精神，完善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B609EA"/>
    <w:multiLevelType w:val="multilevel"/>
    <w:tmpl w:val="2FB609EA"/>
    <w:lvl w:ilvl="0" w:tentative="0">
      <w:start w:val="1"/>
      <w:numFmt w:val="japaneseCounting"/>
      <w:lvlText w:val="%1、"/>
      <w:lvlJc w:val="left"/>
      <w:pPr>
        <w:ind w:left="960" w:hanging="48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757F6253"/>
    <w:multiLevelType w:val="multilevel"/>
    <w:tmpl w:val="757F6253"/>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709" w:hanging="284"/>
      </w:pPr>
      <w:rPr>
        <w:rFonts w:hint="eastAsia"/>
      </w:rPr>
    </w:lvl>
    <w:lvl w:ilvl="2" w:tentative="0">
      <w:start w:val="1"/>
      <w:numFmt w:val="decimal"/>
      <w:pStyle w:val="14"/>
      <w:suff w:val="nothing"/>
      <w:lvlText w:val="%3、"/>
      <w:lvlJc w:val="left"/>
      <w:pPr>
        <w:ind w:left="-312" w:firstLine="73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ODkyZjhhMDVmZjFlOGY1YWNmZGJmN2E4YjNhNDkifQ=="/>
  </w:docVars>
  <w:rsids>
    <w:rsidRoot w:val="007B0092"/>
    <w:rsid w:val="0000170C"/>
    <w:rsid w:val="000052CA"/>
    <w:rsid w:val="00006DEB"/>
    <w:rsid w:val="00022D5C"/>
    <w:rsid w:val="00024425"/>
    <w:rsid w:val="00034E60"/>
    <w:rsid w:val="00060B9E"/>
    <w:rsid w:val="00076A37"/>
    <w:rsid w:val="0008011A"/>
    <w:rsid w:val="000C3042"/>
    <w:rsid w:val="000D03FD"/>
    <w:rsid w:val="000E4B39"/>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3346"/>
    <w:rsid w:val="004061D4"/>
    <w:rsid w:val="00407116"/>
    <w:rsid w:val="00430FEF"/>
    <w:rsid w:val="00445E7E"/>
    <w:rsid w:val="0045152E"/>
    <w:rsid w:val="00460BCB"/>
    <w:rsid w:val="00466256"/>
    <w:rsid w:val="0048108F"/>
    <w:rsid w:val="00481E02"/>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96448"/>
    <w:rsid w:val="005A0085"/>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65D98"/>
    <w:rsid w:val="00672B32"/>
    <w:rsid w:val="00687C8E"/>
    <w:rsid w:val="00693032"/>
    <w:rsid w:val="006A168B"/>
    <w:rsid w:val="006C02FE"/>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C61DC"/>
    <w:rsid w:val="007E7228"/>
    <w:rsid w:val="00806E98"/>
    <w:rsid w:val="0081255D"/>
    <w:rsid w:val="00871C04"/>
    <w:rsid w:val="00877B66"/>
    <w:rsid w:val="00894F43"/>
    <w:rsid w:val="008A2540"/>
    <w:rsid w:val="008A771B"/>
    <w:rsid w:val="008A79EC"/>
    <w:rsid w:val="008C082E"/>
    <w:rsid w:val="008F126C"/>
    <w:rsid w:val="008F1F23"/>
    <w:rsid w:val="008F4855"/>
    <w:rsid w:val="008F7D11"/>
    <w:rsid w:val="00900970"/>
    <w:rsid w:val="0091491B"/>
    <w:rsid w:val="009305FA"/>
    <w:rsid w:val="00942323"/>
    <w:rsid w:val="00943AAA"/>
    <w:rsid w:val="0096607F"/>
    <w:rsid w:val="00981AE4"/>
    <w:rsid w:val="0098218E"/>
    <w:rsid w:val="00990F2D"/>
    <w:rsid w:val="009956E4"/>
    <w:rsid w:val="009D0D63"/>
    <w:rsid w:val="009D24A8"/>
    <w:rsid w:val="009E328F"/>
    <w:rsid w:val="00A10FF8"/>
    <w:rsid w:val="00A1438C"/>
    <w:rsid w:val="00A458E0"/>
    <w:rsid w:val="00A47084"/>
    <w:rsid w:val="00A57B62"/>
    <w:rsid w:val="00A716D6"/>
    <w:rsid w:val="00A71C19"/>
    <w:rsid w:val="00A82B5B"/>
    <w:rsid w:val="00A831B8"/>
    <w:rsid w:val="00A83C14"/>
    <w:rsid w:val="00A86962"/>
    <w:rsid w:val="00AB6C2F"/>
    <w:rsid w:val="00AC27A5"/>
    <w:rsid w:val="00AF3BB3"/>
    <w:rsid w:val="00AF4E74"/>
    <w:rsid w:val="00B04275"/>
    <w:rsid w:val="00B06C23"/>
    <w:rsid w:val="00B26A0F"/>
    <w:rsid w:val="00B36C59"/>
    <w:rsid w:val="00B47341"/>
    <w:rsid w:val="00B52BD2"/>
    <w:rsid w:val="00B740D0"/>
    <w:rsid w:val="00BA2EC4"/>
    <w:rsid w:val="00BC3979"/>
    <w:rsid w:val="00C0111D"/>
    <w:rsid w:val="00C05827"/>
    <w:rsid w:val="00C17376"/>
    <w:rsid w:val="00C17EA3"/>
    <w:rsid w:val="00C32188"/>
    <w:rsid w:val="00C37C40"/>
    <w:rsid w:val="00C70A95"/>
    <w:rsid w:val="00C84C56"/>
    <w:rsid w:val="00C90325"/>
    <w:rsid w:val="00C903A3"/>
    <w:rsid w:val="00CA7AFE"/>
    <w:rsid w:val="00CB0E1B"/>
    <w:rsid w:val="00CB5009"/>
    <w:rsid w:val="00CC7B6B"/>
    <w:rsid w:val="00CE2376"/>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4539"/>
    <w:rsid w:val="00E85B40"/>
    <w:rsid w:val="00E90FAD"/>
    <w:rsid w:val="00E9238F"/>
    <w:rsid w:val="00EA310E"/>
    <w:rsid w:val="00ED0DFD"/>
    <w:rsid w:val="00ED1427"/>
    <w:rsid w:val="00EF5F87"/>
    <w:rsid w:val="00F03AC3"/>
    <w:rsid w:val="00F23172"/>
    <w:rsid w:val="00F400AF"/>
    <w:rsid w:val="00F44BB3"/>
    <w:rsid w:val="00F6491C"/>
    <w:rsid w:val="00F87F63"/>
    <w:rsid w:val="00F97559"/>
    <w:rsid w:val="00FA3A71"/>
    <w:rsid w:val="00FA790D"/>
    <w:rsid w:val="00FB00F6"/>
    <w:rsid w:val="00FB575D"/>
    <w:rsid w:val="00FC3A7E"/>
    <w:rsid w:val="00FF29BB"/>
    <w:rsid w:val="00FF52A9"/>
    <w:rsid w:val="01F223F4"/>
    <w:rsid w:val="045748BB"/>
    <w:rsid w:val="086205EA"/>
    <w:rsid w:val="0A307EC1"/>
    <w:rsid w:val="152E5239"/>
    <w:rsid w:val="19FA1660"/>
    <w:rsid w:val="1E415154"/>
    <w:rsid w:val="23516232"/>
    <w:rsid w:val="250870F1"/>
    <w:rsid w:val="584C5A05"/>
    <w:rsid w:val="5866513C"/>
    <w:rsid w:val="59C5093B"/>
    <w:rsid w:val="62585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numPr>
        <w:ilvl w:val="0"/>
        <w:numId w:val="1"/>
      </w:numPr>
      <w:adjustRightInd w:val="0"/>
      <w:snapToGrid w:val="0"/>
      <w:spacing w:before="160" w:after="160"/>
      <w:outlineLvl w:val="0"/>
    </w:pPr>
    <w:rPr>
      <w:rFonts w:ascii="Times New Roman" w:hAnsi="Times New Roman" w:eastAsia="黑体" w:cs="Times New Roman"/>
      <w:b/>
      <w:bCs/>
      <w:color w:val="000000" w:themeColor="text1"/>
      <w:kern w:val="44"/>
      <w:sz w:val="32"/>
      <w:szCs w:val="44"/>
      <w14:textFill>
        <w14:solidFill>
          <w14:schemeClr w14:val="tx1"/>
        </w14:solidFill>
      </w14:textFill>
    </w:rPr>
  </w:style>
  <w:style w:type="paragraph" w:styleId="3">
    <w:name w:val="heading 2"/>
    <w:basedOn w:val="1"/>
    <w:next w:val="1"/>
    <w:link w:val="13"/>
    <w:qFormat/>
    <w:uiPriority w:val="0"/>
    <w:pPr>
      <w:keepNext/>
      <w:keepLines/>
      <w:numPr>
        <w:ilvl w:val="1"/>
        <w:numId w:val="1"/>
      </w:numPr>
      <w:adjustRightInd w:val="0"/>
      <w:snapToGrid w:val="0"/>
      <w:spacing w:before="50" w:beforeLines="50" w:after="50" w:afterLines="50"/>
      <w:ind w:firstLine="0"/>
      <w:outlineLvl w:val="1"/>
    </w:pPr>
    <w:rPr>
      <w:rFonts w:ascii="仿宋" w:hAnsi="仿宋" w:eastAsia="仿宋" w:cs="Times New Roman"/>
      <w:b/>
      <w:bCs/>
      <w:color w:val="000000" w:themeColor="text1"/>
      <w:sz w:val="32"/>
      <w:szCs w:val="32"/>
      <w14:textFill>
        <w14:solidFill>
          <w14:schemeClr w14:val="tx1"/>
        </w14:solidFill>
      </w14:textFill>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标题 1 字符"/>
    <w:basedOn w:val="8"/>
    <w:link w:val="2"/>
    <w:qFormat/>
    <w:uiPriority w:val="0"/>
    <w:rPr>
      <w:rFonts w:ascii="Times New Roman" w:hAnsi="Times New Roman" w:eastAsia="黑体" w:cs="Times New Roman"/>
      <w:b/>
      <w:bCs/>
      <w:color w:val="000000" w:themeColor="text1"/>
      <w:kern w:val="44"/>
      <w:sz w:val="32"/>
      <w:szCs w:val="44"/>
      <w14:textFill>
        <w14:solidFill>
          <w14:schemeClr w14:val="tx1"/>
        </w14:solidFill>
      </w14:textFill>
    </w:rPr>
  </w:style>
  <w:style w:type="character" w:customStyle="1" w:styleId="13">
    <w:name w:val="标题 2 字符"/>
    <w:basedOn w:val="8"/>
    <w:link w:val="3"/>
    <w:qFormat/>
    <w:uiPriority w:val="0"/>
    <w:rPr>
      <w:rFonts w:ascii="仿宋" w:hAnsi="仿宋" w:eastAsia="仿宋" w:cs="Times New Roman"/>
      <w:b/>
      <w:bCs/>
      <w:color w:val="000000" w:themeColor="text1"/>
      <w:sz w:val="32"/>
      <w:szCs w:val="32"/>
      <w14:textFill>
        <w14:solidFill>
          <w14:schemeClr w14:val="tx1"/>
        </w14:solidFill>
      </w14:textFill>
    </w:rPr>
  </w:style>
  <w:style w:type="paragraph" w:customStyle="1" w:styleId="14">
    <w:name w:val="标题3"/>
    <w:basedOn w:val="1"/>
    <w:qFormat/>
    <w:uiPriority w:val="0"/>
    <w:pPr>
      <w:numPr>
        <w:ilvl w:val="2"/>
        <w:numId w:val="1"/>
      </w:numPr>
      <w:adjustRightInd w:val="0"/>
      <w:snapToGrid w:val="0"/>
      <w:spacing w:before="70" w:beforeLines="70" w:after="70" w:afterLines="70"/>
      <w:ind w:firstLine="0"/>
      <w:outlineLvl w:val="2"/>
    </w:pPr>
    <w:rPr>
      <w:rFonts w:ascii="Times New Roman" w:hAnsi="Times New Roman" w:eastAsia="仿宋_GB2312" w:cs="Times New Roman"/>
      <w:color w:val="000000"/>
      <w:sz w:val="28"/>
      <w:szCs w:val="28"/>
    </w:rPr>
  </w:style>
  <w:style w:type="character" w:customStyle="1" w:styleId="15">
    <w:name w:val="页眉 字符"/>
    <w:basedOn w:val="8"/>
    <w:link w:val="5"/>
    <w:qFormat/>
    <w:uiPriority w:val="99"/>
    <w:rPr>
      <w:sz w:val="18"/>
      <w:szCs w:val="18"/>
    </w:rPr>
  </w:style>
  <w:style w:type="character" w:customStyle="1" w:styleId="16">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4edd6912-b026-4b44-bdbf-8b554f7baf3f</errorID>
      <errorWord>&lt;</errorWord>
      <group>L1_Format</group>
      <groupName>格式问题</groupName>
      <ability>L2_HalfPunc</ability>
      <abilityName>全半角检查</abilityName>
      <candidateList>
        <item>〈</item>
      </candidateList>
      <explain>文本全半角错误。</explain>
      <paraID> 3402A76</paraID>
      <start>30</start>
      <end>31</end>
      <status>unmodified</status>
      <modifiedWord/>
      <trackRevisions>false</trackRevisions>
    </reviewItem>
    <reviewItem>
      <errorID>9ba995cb-eb33-4fb8-99dc-995f0e08ddfc</errorID>
      <errorWord>&gt;的通知》</errorWord>
      <group>L1_Punc</group>
      <groupName>标点问题</groupName>
      <ability>L2_Punc</ability>
      <abilityName>标点符号检查</abilityName>
      <candidateList>
        <item>〉的通知》</item>
      </candidateList>
      <explain/>
      <paraID> 3402A76</paraID>
      <start>41</start>
      <end>46</end>
      <status>unmodified</status>
      <modifiedWord/>
      <trackRevisions>false</trackRevisions>
    </reviewItem>
    <reviewItem>
      <errorID>a3e7c5c7-f99f-4c6e-b247-e0ad1a44d28c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13E7D283</paraID>
      <start>15</start>
      <end>18</end>
      <status>unmodified</status>
      <modifiedWord/>
      <trackRevisions>false</trackRevisions>
    </reviewItem>
    <reviewItem>
      <errorID>5474c844-c716-4115-881f-5d4a10e554c5</errorID>
      <errorWord>&lt;</errorWord>
      <group>L1_Format</group>
      <groupName>格式问题</groupName>
      <ability>L2_HalfPunc</ability>
      <abilityName>全半角检查</abilityName>
      <candidateList>
        <item>〈</item>
      </candidateList>
      <explain>文本全半角错误。</explain>
      <paraID>13E7D283</paraID>
      <start>27</start>
      <end>28</end>
      <status>unmodified</status>
      <modifiedWord/>
      <trackRevisions>false</trackRevisions>
    </reviewItem>
    <reviewItem>
      <errorID>7c4c4e26-1772-41f2-8693-c362e770bd18</errorID>
      <errorWord>&gt;的通知》</errorWord>
      <group>L1_Punc</group>
      <groupName>标点问题</groupName>
      <ability>L2_Punc</ability>
      <abilityName>标点符号检查</abilityName>
      <candidateList>
        <item>〉的通知》</item>
      </candidateList>
      <explain/>
      <paraID>13E7D283</paraID>
      <start>42</start>
      <end>47</end>
      <status>unmodified</status>
      <modifiedWord/>
      <trackRevisions>false</trackRevisions>
    </reviewItem>
    <reviewItem>
      <errorID>876d6d68-f4c4-40f4-9a18-a3d70020c88c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2E817C27</paraID>
      <start>0</start>
      <end>2</end>
      <status>unmodified</status>
      <modifiedWord/>
      <trackRevisions>false</trackRevisions>
    </reviewItem>
    <reviewItem>
      <errorID>daf9810e-f70b-43b4-bfc6-222ef55dbfcb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52ABDBC0</paraID>
      <start>0</start>
      <end>2</end>
      <status>unmodified</status>
      <modifiedWord/>
      <trackRevisions>false</trackRevisions>
    </reviewItem>
    <reviewItem>
      <errorID>53b785b2-ca41-4b5d-8725-3371c1718cd0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97E2A67</paraID>
      <start>0</start>
      <end>2</end>
      <status>unmodified</status>
      <modifiedWord/>
      <trackRevisions>false</trackRevisions>
    </reviewItem>
    <reviewItem>
      <errorID>94a851f1-c726-4659-ac09-c7624d38f308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1383F456</paraID>
      <start>0</start>
      <end>2</end>
      <status>unmodified</status>
      <modifiedWord/>
      <trackRevisions>false</trackRevisions>
    </reviewItem>
    <reviewItem>
      <errorID>90004c4c-e8d7-44b4-8ac6-fec8dfb61ab5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B39C237</paraID>
      <start>0</start>
      <end>2</end>
      <status>unmodified</status>
      <modifiedWord/>
      <trackRevisions>false</trackRevisions>
    </reviewItem>
    <reviewItem>
      <errorID>a4528ec9-6b3e-45c8-81dc-8eb7494817cb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57391C77</paraID>
      <start>0</start>
      <end>2</end>
      <status>unmodified</status>
      <modifiedWord/>
      <trackRevisions>false</trackRevisions>
    </reviewItem>
    <reviewItem>
      <errorID>064501eb-d7a1-4282-8ff4-f442fb1295a3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B8CE068</paraID>
      <start>0</start>
      <end>2</end>
      <status>unmodified</status>
      <modifiedWord/>
      <trackRevisions>false</trackRevisions>
    </reviewItem>
    <reviewItem>
      <errorID>eee7fc68-0879-457f-b5ab-9957884883e1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59DE9E45</paraID>
      <start>0</start>
      <end>2</end>
      <status>unmodified</status>
      <modifiedWord/>
      <trackRevisions>false</trackRevisions>
    </reviewItem>
    <reviewItem>
      <errorID>184ad88d-cc5a-48ca-8184-d7bd10d16835</errorID>
      <errorWord>并且</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explain>
      <paraID>49797D40</paraID>
      <start>221</start>
      <end>223</end>
      <status>unmodified</status>
      <modifiedWord/>
      <trackRevisions>false</trackRevisions>
    </reviewItem>
  </reviewItems>
  <config/>
</contractReview>
</file>

<file path=customXml/itemProps1.xml><?xml version="1.0" encoding="utf-8"?>
<ds:datastoreItem xmlns:ds="http://schemas.openxmlformats.org/officeDocument/2006/customXml" ds:itemID="{e71f1c3f-842f-4721-9918-62a7c69dac80}">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2553</Words>
  <Characters>2715</Characters>
  <Lines>21</Lines>
  <Paragraphs>5</Paragraphs>
  <TotalTime>1998</TotalTime>
  <ScaleCrop>false</ScaleCrop>
  <LinksUpToDate>false</LinksUpToDate>
  <CharactersWithSpaces>2719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2023-08-22T02:17:00Z</dcterms:created>
  <dc:creator>u039007</dc:creator>
  <cp:lastModifiedBy>顾誉桦</cp:lastModifiedBy>
  <dcterms:modified xsi:type="dcterms:W3CDTF">2026-01-29T01:59:58Z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