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8"/>
        <w:tblW w:w="0" w:type="auto"/>
        <w:tblLook w:val="04A0" w:firstRow="1" w:lastRow="0" w:firstColumn="1" w:lastColumn="0" w:noHBand="0" w:noVBand="1"/>
      </w:tblPr>
      <w:tblGrid>
        <w:gridCol w:w="10082"/>
      </w:tblGrid>
      <w:tr w:rsidR="00BA3F0B">
        <w:trPr>
          <w:trHeight w:val="4054"/>
        </w:trPr>
        <w:tc>
          <w:tcPr>
            <w:tcW w:w="10402" w:type="dxa"/>
            <w:tcBorders>
              <w:top w:val="nil"/>
              <w:left w:val="nil"/>
              <w:bottom w:val="nil"/>
              <w:right w:val="nil"/>
            </w:tcBorders>
          </w:tcPr>
          <w:p w:rsidR="00BA3F0B" w:rsidRDefault="00BA3F0B">
            <w:pPr>
              <w:pStyle w:val="a4"/>
              <w:spacing w:line="550" w:lineRule="exact"/>
              <w:rPr>
                <w:rFonts w:ascii="仿宋" w:eastAsia="仿宋" w:hAnsi="仿宋" w:cs="仿宋"/>
                <w:b/>
                <w:bCs/>
                <w:color w:val="FF0000"/>
                <w:sz w:val="22"/>
                <w:szCs w:val="22"/>
              </w:rPr>
            </w:pPr>
            <w:bookmarkStart w:id="0" w:name="_GoBack"/>
            <w:bookmarkEnd w:id="0"/>
          </w:p>
        </w:tc>
      </w:tr>
      <w:tr w:rsidR="00BA3F0B">
        <w:trPr>
          <w:trHeight w:val="4945"/>
        </w:trPr>
        <w:tc>
          <w:tcPr>
            <w:tcW w:w="10402" w:type="dxa"/>
            <w:tcBorders>
              <w:top w:val="nil"/>
              <w:left w:val="nil"/>
              <w:bottom w:val="nil"/>
              <w:right w:val="nil"/>
            </w:tcBorders>
            <w:vAlign w:val="center"/>
          </w:tcPr>
          <w:p w:rsidR="00BA3F0B" w:rsidRDefault="00827830">
            <w:pPr>
              <w:ind w:rightChars="129" w:right="284"/>
              <w:jc w:val="center"/>
              <w:rPr>
                <w:rFonts w:ascii="仿宋" w:eastAsia="仿宋" w:hAnsi="仿宋" w:cs="仿宋"/>
                <w:b/>
                <w:bCs/>
                <w:color w:val="FF0000"/>
              </w:rPr>
            </w:pPr>
            <w:r>
              <w:rPr>
                <w:rFonts w:ascii="宋体" w:eastAsia="宋体" w:hAnsi="宋体" w:cs="宋体"/>
                <w:b/>
                <w:sz w:val="52"/>
              </w:rPr>
              <w:t>2026</w:t>
            </w:r>
            <w:r>
              <w:rPr>
                <w:rFonts w:ascii="宋体" w:eastAsia="宋体" w:hAnsi="宋体" w:cs="宋体"/>
                <w:b/>
                <w:sz w:val="52"/>
              </w:rPr>
              <w:t>年度</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无锡市自然资源和规划局</w:t>
            </w:r>
            <w:r>
              <w:rPr>
                <w:rFonts w:ascii="宋体" w:eastAsia="宋体" w:hAnsi="宋体" w:cs="宋体"/>
                <w:b/>
                <w:sz w:val="52"/>
              </w:rPr>
              <w:t xml:space="preserve"> </w:t>
            </w:r>
            <w:r>
              <w:rPr>
                <w:rFonts w:ascii="宋体" w:eastAsia="宋体" w:hAnsi="宋体" w:cs="宋体"/>
                <w:b/>
                <w:sz w:val="52"/>
              </w:rPr>
              <w:br/>
            </w:r>
            <w:r>
              <w:rPr>
                <w:rFonts w:ascii="宋体" w:eastAsia="宋体" w:hAnsi="宋体" w:cs="宋体"/>
                <w:b/>
                <w:sz w:val="52"/>
              </w:rPr>
              <w:t>部门预算公开</w:t>
            </w:r>
          </w:p>
        </w:tc>
      </w:tr>
    </w:tbl>
    <w:p w:rsidR="00BA3F0B" w:rsidRDefault="00BA3F0B">
      <w:pPr>
        <w:ind w:rightChars="129" w:right="284"/>
        <w:jc w:val="both"/>
        <w:rPr>
          <w:rFonts w:ascii="宋体" w:eastAsia="宋体" w:hAnsi="宋体" w:cs="宋体"/>
          <w:b/>
          <w:bCs/>
          <w:sz w:val="52"/>
          <w:szCs w:val="52"/>
        </w:rPr>
        <w:sectPr w:rsidR="00BA3F0B">
          <w:headerReference w:type="default" r:id="rId8"/>
          <w:headerReference w:type="first" r:id="rId9"/>
          <w:pgSz w:w="11906" w:h="16838"/>
          <w:pgMar w:top="1580" w:right="1020" w:bottom="770" w:left="1020" w:header="170" w:footer="280" w:gutter="0"/>
          <w:cols w:space="720"/>
          <w:formProt w:val="0"/>
          <w:titlePg/>
          <w:docGrid w:linePitch="100"/>
        </w:sectPr>
      </w:pPr>
    </w:p>
    <w:p w:rsidR="00BA3F0B" w:rsidRDefault="00BA3F0B">
      <w:pPr>
        <w:pStyle w:val="a4"/>
        <w:spacing w:before="4"/>
        <w:rPr>
          <w:rFonts w:ascii="华文仿宋" w:eastAsia="华文仿宋" w:hAnsi="华文仿宋" w:cs="仿宋"/>
          <w:sz w:val="10"/>
        </w:rPr>
      </w:pPr>
    </w:p>
    <w:p w:rsidR="00BA3F0B" w:rsidRDefault="00827830">
      <w:pPr>
        <w:pStyle w:val="2"/>
        <w:tabs>
          <w:tab w:val="left" w:pos="880"/>
        </w:tabs>
        <w:snapToGrid w:val="0"/>
        <w:ind w:right="313"/>
        <w:rPr>
          <w:rFonts w:ascii="仿宋" w:eastAsia="仿宋" w:hAnsi="仿宋" w:cs="仿宋"/>
        </w:rPr>
      </w:pPr>
      <w:r>
        <w:rPr>
          <w:rFonts w:ascii="仿宋" w:eastAsia="仿宋" w:hAnsi="仿宋" w:cs="仿宋" w:hint="eastAsia"/>
          <w:b/>
          <w:bCs/>
        </w:rPr>
        <w:t>目</w:t>
      </w:r>
      <w:r>
        <w:rPr>
          <w:rFonts w:ascii="仿宋" w:eastAsia="仿宋" w:hAnsi="仿宋" w:cs="仿宋" w:hint="eastAsia"/>
          <w:b/>
          <w:bCs/>
        </w:rPr>
        <w:tab/>
      </w:r>
      <w:r>
        <w:rPr>
          <w:rFonts w:ascii="仿宋" w:eastAsia="仿宋" w:hAnsi="仿宋" w:cs="仿宋" w:hint="eastAsia"/>
          <w:b/>
          <w:bCs/>
        </w:rPr>
        <w:t>录</w:t>
      </w:r>
    </w:p>
    <w:p w:rsidR="00BA3F0B" w:rsidRDefault="00BA3F0B">
      <w:pPr>
        <w:pStyle w:val="a4"/>
        <w:snapToGrid w:val="0"/>
        <w:spacing w:before="7"/>
        <w:rPr>
          <w:rFonts w:ascii="仿宋" w:eastAsia="仿宋" w:hAnsi="仿宋" w:cs="仿宋"/>
          <w:sz w:val="27"/>
        </w:rPr>
      </w:pP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b/>
          <w:bCs/>
        </w:rPr>
        <w:t>第一部分</w:t>
      </w:r>
      <w:r>
        <w:rPr>
          <w:rFonts w:ascii="仿宋" w:eastAsia="仿宋" w:hAnsi="仿宋" w:cs="仿宋" w:hint="eastAsia"/>
          <w:b/>
          <w:bCs/>
        </w:rPr>
        <w:t xml:space="preserve"> </w:t>
      </w:r>
      <w:r>
        <w:rPr>
          <w:rFonts w:ascii="仿宋" w:eastAsia="仿宋" w:hAnsi="仿宋" w:cs="仿宋" w:hint="eastAsia"/>
          <w:b/>
          <w:bCs/>
          <w:lang w:val="en-US"/>
        </w:rPr>
        <w:t>部门</w:t>
      </w:r>
      <w:r>
        <w:rPr>
          <w:rFonts w:ascii="仿宋" w:eastAsia="仿宋" w:hAnsi="仿宋" w:cs="仿宋" w:hint="eastAsia"/>
          <w:b/>
          <w:bCs/>
        </w:rPr>
        <w:t>概况</w:t>
      </w:r>
    </w:p>
    <w:p w:rsidR="00BA3F0B" w:rsidRDefault="00827830">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一、主要职能</w:t>
      </w:r>
    </w:p>
    <w:p w:rsidR="00BA3F0B" w:rsidRDefault="00827830">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二、</w:t>
      </w:r>
      <w:r>
        <w:rPr>
          <w:rFonts w:ascii="仿宋" w:eastAsia="仿宋" w:hAnsi="仿宋" w:cs="仿宋" w:hint="eastAsia"/>
          <w:lang w:val="en-US"/>
        </w:rPr>
        <w:t>部门</w:t>
      </w:r>
      <w:r>
        <w:rPr>
          <w:rFonts w:ascii="仿宋" w:eastAsia="仿宋" w:hAnsi="仿宋" w:cs="仿宋" w:hint="eastAsia"/>
        </w:rPr>
        <w:t>机构设置及预算单位构成情况</w:t>
      </w:r>
    </w:p>
    <w:p w:rsidR="00BA3F0B" w:rsidRDefault="00827830">
      <w:pPr>
        <w:pStyle w:val="a4"/>
        <w:tabs>
          <w:tab w:val="left" w:pos="2249"/>
        </w:tabs>
        <w:snapToGrid w:val="0"/>
        <w:spacing w:line="312" w:lineRule="auto"/>
        <w:ind w:leftChars="300" w:left="671" w:hanging="11"/>
        <w:jc w:val="both"/>
        <w:rPr>
          <w:rFonts w:ascii="仿宋" w:eastAsia="仿宋" w:hAnsi="仿宋" w:cs="仿宋"/>
        </w:rPr>
      </w:pPr>
      <w:r>
        <w:rPr>
          <w:rFonts w:ascii="仿宋" w:eastAsia="仿宋" w:hAnsi="仿宋" w:cs="仿宋" w:hint="eastAsia"/>
        </w:rPr>
        <w:t>三、</w:t>
      </w:r>
      <w:r>
        <w:rPr>
          <w:rFonts w:ascii="仿宋" w:eastAsia="仿宋" w:hAnsi="仿宋" w:cs="仿宋" w:hint="eastAsia"/>
        </w:rPr>
        <w:t>2026</w:t>
      </w:r>
      <w:r>
        <w:rPr>
          <w:rFonts w:ascii="仿宋" w:eastAsia="仿宋" w:hAnsi="仿宋" w:cs="仿宋" w:hint="eastAsia"/>
        </w:rPr>
        <w:t>年度</w:t>
      </w:r>
      <w:r>
        <w:rPr>
          <w:rFonts w:ascii="仿宋" w:eastAsia="仿宋" w:hAnsi="仿宋" w:cs="仿宋" w:hint="eastAsia"/>
          <w:lang w:val="en-US"/>
        </w:rPr>
        <w:t>部门</w:t>
      </w:r>
      <w:r>
        <w:rPr>
          <w:rFonts w:ascii="仿宋" w:eastAsia="仿宋" w:hAnsi="仿宋" w:cs="仿宋" w:hint="eastAsia"/>
        </w:rPr>
        <w:t>主要工作任务及目标</w:t>
      </w:r>
    </w:p>
    <w:p w:rsidR="00BA3F0B" w:rsidRDefault="00827830">
      <w:pPr>
        <w:pStyle w:val="a4"/>
        <w:snapToGrid w:val="0"/>
        <w:spacing w:line="312" w:lineRule="auto"/>
        <w:ind w:leftChars="300" w:left="671" w:hanging="11"/>
        <w:jc w:val="both"/>
        <w:rPr>
          <w:rFonts w:ascii="仿宋" w:eastAsia="仿宋" w:hAnsi="仿宋" w:cs="仿宋"/>
          <w:b/>
          <w:bCs/>
        </w:rPr>
      </w:pPr>
      <w:r>
        <w:rPr>
          <w:rFonts w:ascii="仿宋" w:eastAsia="仿宋" w:hAnsi="仿宋" w:cs="仿宋" w:hint="eastAsia"/>
          <w:b/>
          <w:bCs/>
          <w:lang w:val="en-US"/>
        </w:rPr>
        <w:t>第二部分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bidi="ar"/>
        </w:rPr>
        <w:t>2026</w:t>
      </w:r>
      <w:r>
        <w:rPr>
          <w:rFonts w:ascii="仿宋" w:eastAsia="仿宋" w:hAnsi="仿宋" w:cs="仿宋" w:hint="eastAsia"/>
          <w:b/>
          <w:bCs/>
          <w:lang w:val="en-US"/>
        </w:rPr>
        <w:t>年度</w:t>
      </w:r>
      <w:r>
        <w:rPr>
          <w:rFonts w:ascii="仿宋" w:eastAsia="仿宋" w:hAnsi="仿宋" w:cs="仿宋"/>
          <w:b/>
        </w:rPr>
        <w:t>部门预算表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一、收支总表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二、收入总表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三、支出总表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四、财政拨款收支总表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五、财政拨款支出表（功能科目）</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六、财政拨款基本支出表（经济科目）</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七、一般公共预算支出表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八、一般公共预算基本支出表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九、一般公共预算“三公”经费、会议费、培训费支出表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十、政府性基金预算支出表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一</w:t>
      </w:r>
      <w:r>
        <w:rPr>
          <w:rFonts w:ascii="仿宋" w:eastAsia="仿宋" w:hAnsi="仿宋" w:cs="仿宋" w:hint="eastAsia"/>
        </w:rPr>
        <w:t>、国有资本经营预算支出预算表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二</w:t>
      </w:r>
      <w:r>
        <w:rPr>
          <w:rFonts w:ascii="仿宋" w:eastAsia="仿宋" w:hAnsi="仿宋" w:cs="仿宋" w:hint="eastAsia"/>
        </w:rPr>
        <w:t>、一般公共预算机关运行经费支出预算表</w:t>
      </w:r>
    </w:p>
    <w:p w:rsidR="00BA3F0B" w:rsidRDefault="00827830">
      <w:pPr>
        <w:pStyle w:val="a4"/>
        <w:snapToGrid w:val="0"/>
        <w:spacing w:line="312" w:lineRule="auto"/>
        <w:ind w:leftChars="300" w:left="671" w:hanging="11"/>
        <w:jc w:val="both"/>
        <w:rPr>
          <w:rFonts w:ascii="仿宋" w:eastAsia="仿宋" w:hAnsi="仿宋" w:cs="仿宋"/>
        </w:rPr>
      </w:pPr>
      <w:r>
        <w:rPr>
          <w:rFonts w:ascii="仿宋" w:eastAsia="仿宋" w:hAnsi="仿宋" w:cs="仿宋" w:hint="eastAsia"/>
        </w:rPr>
        <w:t>十</w:t>
      </w:r>
      <w:r>
        <w:rPr>
          <w:rFonts w:ascii="仿宋" w:eastAsia="仿宋" w:hAnsi="仿宋" w:cs="仿宋" w:hint="eastAsia"/>
          <w:lang w:val="en-US"/>
        </w:rPr>
        <w:t>三</w:t>
      </w:r>
      <w:r>
        <w:rPr>
          <w:rFonts w:ascii="仿宋" w:eastAsia="仿宋" w:hAnsi="仿宋" w:cs="仿宋" w:hint="eastAsia"/>
        </w:rPr>
        <w:t>、政府采购支出表</w:t>
      </w:r>
    </w:p>
    <w:p w:rsidR="00BA3F0B" w:rsidRDefault="00827830">
      <w:pPr>
        <w:pStyle w:val="a4"/>
        <w:snapToGrid w:val="0"/>
        <w:spacing w:line="312" w:lineRule="auto"/>
        <w:ind w:leftChars="300" w:left="671" w:right="506" w:hanging="11"/>
        <w:jc w:val="both"/>
        <w:rPr>
          <w:rFonts w:ascii="仿宋" w:eastAsia="仿宋" w:hAnsi="仿宋" w:cs="仿宋"/>
          <w:b/>
          <w:bCs/>
          <w:color w:val="000000"/>
          <w:sz w:val="30"/>
          <w:szCs w:val="30"/>
          <w:lang w:val="en-US" w:bidi="ar"/>
        </w:rPr>
      </w:pPr>
      <w:r>
        <w:rPr>
          <w:rFonts w:ascii="仿宋" w:eastAsia="仿宋" w:hAnsi="仿宋" w:cs="仿宋" w:hint="eastAsia"/>
          <w:b/>
          <w:bCs/>
          <w:lang w:val="en-US"/>
        </w:rPr>
        <w:t>第三部分</w:t>
      </w:r>
      <w:r>
        <w:rPr>
          <w:rFonts w:ascii="仿宋" w:eastAsia="仿宋" w:hAnsi="仿宋" w:cs="仿宋" w:hint="eastAsia"/>
          <w:b/>
          <w:bCs/>
          <w:lang w:val="en-US"/>
        </w:rPr>
        <w:t xml:space="preserve"> </w:t>
      </w:r>
      <w:r>
        <w:rPr>
          <w:rFonts w:ascii="仿宋" w:eastAsia="仿宋" w:hAnsi="仿宋" w:cs="仿宋" w:hint="eastAsia"/>
          <w:b/>
          <w:bCs/>
          <w:color w:val="000000"/>
          <w:sz w:val="30"/>
          <w:szCs w:val="30"/>
          <w:lang w:val="en-US" w:bidi="ar"/>
        </w:rPr>
        <w:t>2026</w:t>
      </w:r>
      <w:r>
        <w:rPr>
          <w:rFonts w:ascii="仿宋" w:eastAsia="仿宋" w:hAnsi="仿宋" w:cs="仿宋" w:hint="eastAsia"/>
          <w:b/>
          <w:bCs/>
          <w:color w:val="000000"/>
          <w:sz w:val="30"/>
          <w:szCs w:val="30"/>
          <w:lang w:val="en-US" w:bidi="ar"/>
        </w:rPr>
        <w:t>年度</w:t>
      </w:r>
      <w:r>
        <w:rPr>
          <w:rFonts w:ascii="仿宋" w:eastAsia="仿宋" w:hAnsi="仿宋" w:cs="仿宋"/>
          <w:b/>
          <w:color w:val="000000"/>
          <w:sz w:val="30"/>
        </w:rPr>
        <w:t>部门</w:t>
      </w:r>
      <w:r>
        <w:rPr>
          <w:rFonts w:ascii="仿宋" w:eastAsia="仿宋" w:hAnsi="仿宋" w:cs="仿宋" w:hint="eastAsia"/>
          <w:b/>
          <w:bCs/>
          <w:color w:val="000000"/>
          <w:sz w:val="30"/>
          <w:szCs w:val="30"/>
          <w:lang w:val="en-US" w:bidi="ar"/>
        </w:rPr>
        <w:t>预算</w:t>
      </w:r>
      <w:r>
        <w:rPr>
          <w:rFonts w:ascii="仿宋" w:eastAsia="仿宋" w:hAnsi="仿宋" w:cs="仿宋" w:hint="eastAsia"/>
          <w:b/>
          <w:bCs/>
          <w:color w:val="000000"/>
          <w:sz w:val="30"/>
          <w:szCs w:val="30"/>
          <w:lang w:val="en-US" w:bidi="ar"/>
        </w:rPr>
        <w:t>情况说明</w:t>
      </w:r>
    </w:p>
    <w:p w:rsidR="00BA3F0B" w:rsidRDefault="00827830">
      <w:pPr>
        <w:pStyle w:val="a4"/>
        <w:snapToGrid w:val="0"/>
        <w:spacing w:line="312" w:lineRule="auto"/>
        <w:ind w:leftChars="300" w:left="671" w:right="2575" w:hanging="11"/>
        <w:jc w:val="both"/>
        <w:rPr>
          <w:rFonts w:ascii="仿宋" w:eastAsia="仿宋" w:hAnsi="仿宋" w:cs="仿宋"/>
          <w:b/>
          <w:bCs/>
          <w:color w:val="000000"/>
          <w:sz w:val="30"/>
          <w:szCs w:val="30"/>
          <w:lang w:val="en-US" w:bidi="ar"/>
        </w:rPr>
      </w:pPr>
      <w:r>
        <w:rPr>
          <w:rFonts w:ascii="仿宋" w:eastAsia="仿宋" w:hAnsi="仿宋" w:cs="仿宋" w:hint="eastAsia"/>
          <w:b/>
          <w:bCs/>
          <w:lang w:val="en-US"/>
        </w:rPr>
        <w:t>第</w:t>
      </w:r>
      <w:r>
        <w:rPr>
          <w:rFonts w:ascii="仿宋" w:eastAsia="仿宋" w:hAnsi="仿宋" w:cs="仿宋" w:hint="eastAsia"/>
          <w:b/>
          <w:bCs/>
          <w:lang w:val="en-US"/>
        </w:rPr>
        <w:t>四</w:t>
      </w:r>
      <w:r>
        <w:rPr>
          <w:rFonts w:ascii="仿宋" w:eastAsia="仿宋" w:hAnsi="仿宋" w:cs="仿宋" w:hint="eastAsia"/>
          <w:b/>
          <w:bCs/>
          <w:lang w:val="en-US"/>
        </w:rPr>
        <w:t>部分</w:t>
      </w:r>
      <w:r>
        <w:rPr>
          <w:rFonts w:ascii="仿宋" w:eastAsia="仿宋" w:hAnsi="仿宋" w:cs="仿宋" w:hint="eastAsia"/>
          <w:b/>
          <w:bCs/>
          <w:lang w:val="en-US"/>
        </w:rPr>
        <w:t xml:space="preserve"> </w:t>
      </w:r>
      <w:r>
        <w:rPr>
          <w:rFonts w:ascii="仿宋" w:eastAsia="仿宋" w:hAnsi="仿宋" w:cs="仿宋" w:hint="eastAsia"/>
          <w:b/>
          <w:bCs/>
          <w:lang w:val="en-US"/>
        </w:rPr>
        <w:t>名词解释</w:t>
      </w:r>
    </w:p>
    <w:p w:rsidR="00BA3F0B" w:rsidRDefault="00BA3F0B">
      <w:pPr>
        <w:pStyle w:val="a4"/>
        <w:snapToGrid w:val="0"/>
        <w:spacing w:line="312" w:lineRule="auto"/>
        <w:ind w:leftChars="300" w:left="669" w:right="2414" w:hanging="9"/>
        <w:jc w:val="both"/>
        <w:rPr>
          <w:rFonts w:ascii="仿宋" w:eastAsia="仿宋" w:hAnsi="仿宋" w:cs="仿宋"/>
        </w:rPr>
        <w:sectPr w:rsidR="00BA3F0B">
          <w:footerReference w:type="default" r:id="rId10"/>
          <w:pgSz w:w="11906" w:h="16838"/>
          <w:pgMar w:top="1580" w:right="1020" w:bottom="770" w:left="1020" w:header="170" w:footer="280" w:gutter="0"/>
          <w:pgNumType w:fmt="numberInDash" w:start="1"/>
          <w:cols w:space="720"/>
          <w:formProt w:val="0"/>
          <w:docGrid w:linePitch="100"/>
        </w:sectPr>
      </w:pPr>
    </w:p>
    <w:p w:rsidR="00BA3F0B" w:rsidRDefault="00BA3F0B">
      <w:pPr>
        <w:pStyle w:val="a4"/>
        <w:spacing w:before="1"/>
        <w:rPr>
          <w:rFonts w:ascii="华文仿宋" w:eastAsia="华文仿宋" w:hAnsi="华文仿宋" w:cs="仿宋"/>
          <w:sz w:val="14"/>
        </w:rPr>
      </w:pPr>
    </w:p>
    <w:p w:rsidR="00BA3F0B" w:rsidRDefault="00827830">
      <w:pPr>
        <w:pStyle w:val="4"/>
        <w:tabs>
          <w:tab w:val="left" w:pos="4395"/>
        </w:tabs>
        <w:spacing w:line="606" w:lineRule="exact"/>
        <w:ind w:rightChars="229" w:right="504"/>
        <w:rPr>
          <w:rFonts w:ascii="仿宋" w:eastAsia="仿宋" w:hAnsi="仿宋" w:cs="仿宋"/>
          <w:b/>
          <w:bCs/>
        </w:rPr>
      </w:pPr>
      <w:r>
        <w:rPr>
          <w:rFonts w:ascii="仿宋" w:eastAsia="仿宋" w:hAnsi="仿宋" w:cs="仿宋" w:hint="eastAsia"/>
          <w:b/>
          <w:bCs/>
        </w:rPr>
        <w:t>第一部分</w:t>
      </w:r>
      <w:r>
        <w:rPr>
          <w:rFonts w:ascii="仿宋" w:eastAsia="仿宋" w:hAnsi="仿宋" w:cs="仿宋" w:hint="eastAsia"/>
          <w:b/>
          <w:bCs/>
          <w:lang w:val="en-US"/>
        </w:rPr>
        <w:t xml:space="preserve"> </w:t>
      </w:r>
      <w:r>
        <w:rPr>
          <w:rFonts w:ascii="仿宋" w:eastAsia="仿宋" w:hAnsi="仿宋" w:cs="仿宋" w:hint="eastAsia"/>
          <w:b/>
          <w:bCs/>
        </w:rPr>
        <w:t>部门概况</w:t>
      </w:r>
    </w:p>
    <w:p w:rsidR="00BA3F0B" w:rsidRDefault="00BA3F0B">
      <w:pPr>
        <w:ind w:rightChars="229" w:right="504"/>
        <w:jc w:val="both"/>
      </w:pPr>
    </w:p>
    <w:p w:rsidR="00BA3F0B" w:rsidRDefault="00827830">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一、主要职能</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w:t>
      </w:r>
      <w:r>
        <w:rPr>
          <w:rFonts w:ascii="仿宋" w:eastAsia="仿宋" w:hAnsi="仿宋" w:cs="仿宋"/>
        </w:rPr>
        <w:t>履行全民所有土地、矿产、森林、湿地、水等自然资源资产所有者职责和国土空间用途管制职责。贯彻执行自然资源和国土空间规划及测绘、风景名胜区等法律法规。</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w:t>
      </w:r>
      <w:r>
        <w:rPr>
          <w:rFonts w:ascii="仿宋" w:eastAsia="仿宋" w:hAnsi="仿宋" w:cs="仿宋"/>
        </w:rPr>
        <w:t>负责自然资源调查监测评价。贯彻执行自然资源调查监测评价的指标体系、统计标准和评价制度，组织实施自然资源基础调查、专项调查和监测，负责自然资源调查监测评价成果的监督管理和信息发布。指导市（县）自然资源调查监测评价。</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3.</w:t>
      </w:r>
      <w:r>
        <w:rPr>
          <w:rFonts w:ascii="仿宋" w:eastAsia="仿宋" w:hAnsi="仿宋" w:cs="仿宋"/>
        </w:rPr>
        <w:t>负责自然资源统一确权登记工作。组织实施各类自然资源和不动产统一确权登记、权籍调查、不动产测绘、争议调处、成果应用的制度、标准、规范。推进自然资源和不动产登记信息管理基础平台建设及运行。负责自然资源和不动产登记资料收集、整理、共享、汇交管理等。指导监督市（县）自然资源和不动产登记工作。</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4.</w:t>
      </w:r>
      <w:r>
        <w:rPr>
          <w:rFonts w:ascii="仿宋" w:eastAsia="仿宋" w:hAnsi="仿宋" w:cs="仿宋"/>
        </w:rPr>
        <w:t>负责自然资源资产有偿使用工作。贯彻执行全民所有自然资源资产统计制度，负责全民所有自然资源资产核算。编制全民所有自然资源资产负债表，执行考核标准。贯彻执行全民所有自然资源资产划拨、出让、租赁、作价出资和土地储备政策，合理</w:t>
      </w:r>
      <w:r>
        <w:rPr>
          <w:rFonts w:ascii="仿宋" w:eastAsia="仿宋" w:hAnsi="仿宋" w:cs="仿宋"/>
        </w:rPr>
        <w:t>配置全民所有自然资源资产。负责自然资源资产价值评估管理，依法收缴相关资产收益。</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lastRenderedPageBreak/>
        <w:t>5.</w:t>
      </w:r>
      <w:r>
        <w:rPr>
          <w:rFonts w:ascii="仿宋" w:eastAsia="仿宋" w:hAnsi="仿宋" w:cs="仿宋"/>
        </w:rPr>
        <w:t>负责自然资源的合理开发利用。贯彻执行自然资源发展规划和战略，组织实施自然资源开发利用标准，建立政府公示自然资源价格体系，开展自然资源分等定级价格评估，开展自然资源利用评价考核。组织实施自然资源节约集约利用工作。负责自然资源市场监管。</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6.</w:t>
      </w:r>
      <w:r>
        <w:rPr>
          <w:rFonts w:ascii="仿宋" w:eastAsia="仿宋" w:hAnsi="仿宋" w:cs="仿宋"/>
        </w:rPr>
        <w:t>负责建立空间规划体系并监督实施。落实主体功能战略和制度，组织编制国土空间规划及相关专项规划，负责历史文化名城、名镇、名村保护规划的规划编制和管理工作，负责城市设计工作。开展国土空间开发适宜性</w:t>
      </w:r>
      <w:r>
        <w:rPr>
          <w:rFonts w:ascii="仿宋" w:eastAsia="仿宋" w:hAnsi="仿宋" w:cs="仿宋"/>
        </w:rPr>
        <w:t>评价，建立国土空间规划实施监测、评估和预警体系。组织划定生态保护红线、永久基本农田和城镇开发边界等控制线。负责建设用地、建设工程的规划管理工作。贯彻落实国土空间用途管制制度，组织拟订并实施自然资源年度利用计划，负责国土空间用途转用工作。负责土地征收征用管理工作。</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7.</w:t>
      </w:r>
      <w:r>
        <w:rPr>
          <w:rFonts w:ascii="仿宋" w:eastAsia="仿宋" w:hAnsi="仿宋" w:cs="仿宋"/>
        </w:rPr>
        <w:t>负责统筹国土空间生态修复。组织编制国土空间生态修复规划，组织实施有关生态修复重要工程。负责统筹国土空间综合整治、土地整理复垦、矿山地质环境恢复治理及湿地修复工作。实施生态保护补偿制度和生态修复的有关政策措施。</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8.</w:t>
      </w:r>
      <w:r>
        <w:rPr>
          <w:rFonts w:ascii="仿宋" w:eastAsia="仿宋" w:hAnsi="仿宋" w:cs="仿宋"/>
        </w:rPr>
        <w:t>组织实施最严格的耕地保护制度。</w:t>
      </w:r>
      <w:r>
        <w:rPr>
          <w:rFonts w:ascii="仿宋" w:eastAsia="仿宋" w:hAnsi="仿宋" w:cs="仿宋"/>
        </w:rPr>
        <w:t>贯彻落实耕地保护政策，负责耕地数量、质量、生态保护。组织实施耕地保护责任目标考核和永久基本农田特殊保护。落实耕地占补平衡制度，监督占用耕地补偿制度执行情况。</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9.</w:t>
      </w:r>
      <w:r>
        <w:rPr>
          <w:rFonts w:ascii="仿宋" w:eastAsia="仿宋" w:hAnsi="仿宋" w:cs="仿宋"/>
        </w:rPr>
        <w:t>负责矿产资源管理。监督管理矿产资源合理利用和保</w:t>
      </w:r>
      <w:r>
        <w:rPr>
          <w:rFonts w:ascii="仿宋" w:eastAsia="仿宋" w:hAnsi="仿宋" w:cs="仿宋"/>
        </w:rPr>
        <w:lastRenderedPageBreak/>
        <w:t>护，负责矿产资源储量管理和压覆矿产资源审批。负责矿业权管理。负责古生物化石监督管理工作。保护地质遗迹，认定地质遗迹保护区。</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10.</w:t>
      </w:r>
      <w:r>
        <w:rPr>
          <w:rFonts w:ascii="仿宋" w:eastAsia="仿宋" w:hAnsi="仿宋" w:cs="仿宋"/>
        </w:rPr>
        <w:t>负责落实综合防灾减灾规划相关要求，组织编制地质灾害防治规划并指导实施。组织指导协调和监督地质灾害调查评价及隐患的普查、详查、排查，指导开展群测群防、专业监测和预报预警等工作，</w:t>
      </w:r>
      <w:r>
        <w:rPr>
          <w:rFonts w:ascii="仿宋" w:eastAsia="仿宋" w:hAnsi="仿宋" w:cs="仿宋"/>
        </w:rPr>
        <w:t>指导开展地质灾害工程治理工作。承担地质灾害应急救援的技术支撑工作。</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11.</w:t>
      </w:r>
      <w:r>
        <w:rPr>
          <w:rFonts w:ascii="仿宋" w:eastAsia="仿宋" w:hAnsi="仿宋" w:cs="仿宋"/>
        </w:rPr>
        <w:t>负责林业、森林、湿地、风景名胜区和陆生野生动植物资源管理。拟订并组织实施林地、湿地保护利用规划和相关制度规定。组织编制并监督执行全市森林采伐限额。指导林业有害生物防治、检疫工作。负责古树名木保护工作。负责风景名胜区监督管理工作。组织编制并监督实施森林火灾防治规划，承担森林防火相关工作。指导并组织开展陆生野生动植物资源的保护和合理开发利用。</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12.</w:t>
      </w:r>
      <w:r>
        <w:rPr>
          <w:rFonts w:ascii="仿宋" w:eastAsia="仿宋" w:hAnsi="仿宋" w:cs="仿宋"/>
        </w:rPr>
        <w:t>负责植树造林和封山育林工作。分类指导公益林和商品林的培育，负责市级公益林的划定和管理工作。</w:t>
      </w:r>
      <w:r>
        <w:rPr>
          <w:rFonts w:ascii="仿宋" w:eastAsia="仿宋" w:hAnsi="仿宋" w:cs="仿宋"/>
        </w:rPr>
        <w:t>拟订城乡全民义务植树的实施办法和措施，编制全民义务植树年度计划，组织开展、指导协调和监督检查全民义务植树、城乡绿化和封山育林工作。</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13.</w:t>
      </w:r>
      <w:r>
        <w:rPr>
          <w:rFonts w:ascii="仿宋" w:eastAsia="仿宋" w:hAnsi="仿宋" w:cs="仿宋"/>
        </w:rPr>
        <w:t>负责测绘和地理信息管理工作。负责基础测绘和测绘行业管理；组织协调全市范围内基础测绘等重大测绘项目的实施。监督管理地理信息安全和市场秩序，负责地理信息公共服</w:t>
      </w:r>
      <w:r>
        <w:rPr>
          <w:rFonts w:ascii="仿宋" w:eastAsia="仿宋" w:hAnsi="仿宋" w:cs="仿宋"/>
        </w:rPr>
        <w:lastRenderedPageBreak/>
        <w:t>务管理。负责测量标志保护。开展自然资源信息化和信息资料公共服务工作。</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14.</w:t>
      </w:r>
      <w:r>
        <w:rPr>
          <w:rFonts w:ascii="仿宋" w:eastAsia="仿宋" w:hAnsi="仿宋" w:cs="仿宋"/>
        </w:rPr>
        <w:t>负责城乡规划、土地、地质矿产资源、测绘等行业资质与信用管理。</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15.</w:t>
      </w:r>
      <w:r>
        <w:rPr>
          <w:rFonts w:ascii="仿宋" w:eastAsia="仿宋" w:hAnsi="仿宋" w:cs="仿宋"/>
        </w:rPr>
        <w:t>组织开展自然资源和规划的科研科技工作、对外交流与合作。</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16.</w:t>
      </w:r>
      <w:r>
        <w:rPr>
          <w:rFonts w:ascii="仿宋" w:eastAsia="仿宋" w:hAnsi="仿宋" w:cs="仿宋"/>
        </w:rPr>
        <w:t>根据市委、市政</w:t>
      </w:r>
      <w:r>
        <w:rPr>
          <w:rFonts w:ascii="仿宋" w:eastAsia="仿宋" w:hAnsi="仿宋" w:cs="仿宋"/>
        </w:rPr>
        <w:t>府授权，监督检查市（县）区落实自然资源和国土空间规划的方针政策、决策部署及法律法规执行情况；查处自然资源开发利用和国土空间规划及测绘违法案件，负责违法建设规划影响程度的认定。</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17.</w:t>
      </w:r>
      <w:r>
        <w:rPr>
          <w:rFonts w:ascii="仿宋" w:eastAsia="仿宋" w:hAnsi="仿宋" w:cs="仿宋"/>
        </w:rPr>
        <w:t>按规定履行干部管理和队伍建设职责。</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18.</w:t>
      </w:r>
      <w:r>
        <w:rPr>
          <w:rFonts w:ascii="仿宋" w:eastAsia="仿宋" w:hAnsi="仿宋" w:cs="仿宋"/>
        </w:rPr>
        <w:t>按照职责分工做好相关行业、领域的安全生产监督管理工作。</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19.</w:t>
      </w:r>
      <w:r>
        <w:rPr>
          <w:rFonts w:ascii="仿宋" w:eastAsia="仿宋" w:hAnsi="仿宋" w:cs="仿宋"/>
        </w:rPr>
        <w:t>完成市委、市政府交办的其他任务。</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20.</w:t>
      </w:r>
      <w:r>
        <w:rPr>
          <w:rFonts w:ascii="仿宋" w:eastAsia="仿宋" w:hAnsi="仿宋" w:cs="仿宋"/>
        </w:rPr>
        <w:t>职能转变。贯彻落实统一行使全民所有自然资源资产所有者职责，统一行使所有国土空间用途管制和生态保护修复职责的要求，严格执行管控制度，发挥国土空间规划管控作用。推进</w:t>
      </w:r>
      <w:r>
        <w:rPr>
          <w:rFonts w:ascii="仿宋" w:eastAsia="仿宋" w:hAnsi="仿宋" w:cs="仿宋"/>
        </w:rPr>
        <w:t>“</w:t>
      </w:r>
      <w:r>
        <w:rPr>
          <w:rFonts w:ascii="仿宋" w:eastAsia="仿宋" w:hAnsi="仿宋" w:cs="仿宋"/>
        </w:rPr>
        <w:t>多规合一</w:t>
      </w:r>
      <w:r>
        <w:rPr>
          <w:rFonts w:ascii="仿宋" w:eastAsia="仿宋" w:hAnsi="仿宋" w:cs="仿宋"/>
        </w:rPr>
        <w:t>”</w:t>
      </w:r>
      <w:r>
        <w:rPr>
          <w:rFonts w:ascii="仿宋" w:eastAsia="仿宋" w:hAnsi="仿宋" w:cs="仿宋"/>
        </w:rPr>
        <w:t>，为保护和合理</w:t>
      </w:r>
      <w:r>
        <w:rPr>
          <w:rFonts w:ascii="仿宋" w:eastAsia="仿宋" w:hAnsi="仿宋" w:cs="仿宋"/>
        </w:rPr>
        <w:t>开发利用自然资源提供科学指引。进一步加强自然资源的保护和合理开发利用，建立健全源头保护和全过程修复治理相结合的工作机制，实现整体保护、系统修复、综合治理。创新激励约束并举的制度措施，推进自然资源节约集约利用。进一步精简下放有关行政审批事项，强化监管力度，充分发挥市场对资源配置的决定性作用，</w:t>
      </w:r>
      <w:r>
        <w:rPr>
          <w:rFonts w:ascii="仿宋" w:eastAsia="仿宋" w:hAnsi="仿宋" w:cs="仿宋"/>
        </w:rPr>
        <w:lastRenderedPageBreak/>
        <w:t>更好发挥政府作用，强化自然资源管理规则、标准、制度的约束性作用，推进自然资源确权登记和评估的便民高效。</w:t>
      </w:r>
    </w:p>
    <w:p w:rsidR="00BA3F0B" w:rsidRDefault="00827830">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二、</w:t>
      </w:r>
      <w:r>
        <w:rPr>
          <w:rFonts w:ascii="仿宋" w:eastAsia="仿宋" w:hAnsi="仿宋" w:cs="仿宋"/>
          <w:b/>
        </w:rPr>
        <w:t>部门</w:t>
      </w:r>
      <w:r>
        <w:rPr>
          <w:rFonts w:ascii="仿宋" w:eastAsia="仿宋" w:hAnsi="仿宋" w:cs="仿宋" w:hint="eastAsia"/>
          <w:b/>
          <w:bCs/>
        </w:rPr>
        <w:t>机构设置及预算单位构成情况</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1.</w:t>
      </w:r>
      <w:r>
        <w:rPr>
          <w:rFonts w:ascii="仿宋" w:eastAsia="仿宋" w:hAnsi="仿宋" w:cs="仿宋" w:hint="eastAsia"/>
        </w:rPr>
        <w:t>根据</w:t>
      </w:r>
      <w:r>
        <w:rPr>
          <w:rFonts w:ascii="仿宋" w:eastAsia="仿宋" w:hAnsi="仿宋" w:cs="仿宋" w:hint="eastAsia"/>
          <w:lang w:val="en-US"/>
        </w:rPr>
        <w:t>部门</w:t>
      </w:r>
      <w:r>
        <w:rPr>
          <w:rFonts w:ascii="仿宋" w:eastAsia="仿宋" w:hAnsi="仿宋" w:cs="仿宋" w:hint="eastAsia"/>
        </w:rPr>
        <w:t>职责分工，</w:t>
      </w:r>
      <w:r>
        <w:rPr>
          <w:rFonts w:ascii="仿宋" w:eastAsia="仿宋" w:hAnsi="仿宋" w:cs="仿宋"/>
        </w:rPr>
        <w:t>本部门内设机构包括：</w:t>
      </w:r>
      <w:r>
        <w:rPr>
          <w:rFonts w:ascii="仿宋" w:eastAsia="仿宋" w:hAnsi="仿宋" w:cs="仿宋"/>
        </w:rPr>
        <w:t>办公室、综合改革研究处、政策法规处、行政执法处、自然资源确权登记和调查监测处、自然资源开发利用和所有者权益处、总体规划管理处、详细规划管理处、建筑规划管理处、市政交通规划管理处、国土空间用途管制处、生态修复和耕地保护监督处、林业湿地管理处、风景名胜和绿化管理处、地质矿产资源和测绘地理信息管理处、财务审计处、组织人事处、机关党委。本部门下属单位包括：无锡市土地储备中心（无锡市自然资源监管保障中心），无锡市不动产登记中心，无锡市林业总站，无锡市自然资源交易和服务中心，无锡市规划设计研究院，无锡市国土空间规划编制</w:t>
      </w:r>
      <w:r>
        <w:rPr>
          <w:rFonts w:ascii="仿宋" w:eastAsia="仿宋" w:hAnsi="仿宋" w:cs="仿宋"/>
        </w:rPr>
        <w:t>研究中心。</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hint="eastAsia"/>
          <w:lang w:val="en-US"/>
        </w:rPr>
        <w:t>2.</w:t>
      </w:r>
      <w:r>
        <w:rPr>
          <w:rFonts w:ascii="仿宋" w:eastAsia="仿宋" w:hAnsi="仿宋" w:cs="仿宋" w:hint="eastAsia"/>
        </w:rPr>
        <w:t>从</w:t>
      </w:r>
      <w:r>
        <w:rPr>
          <w:rFonts w:ascii="仿宋" w:eastAsia="仿宋" w:hAnsi="仿宋" w:cs="仿宋" w:hint="eastAsia"/>
        </w:rPr>
        <w:t>预算</w:t>
      </w:r>
      <w:r>
        <w:rPr>
          <w:rFonts w:ascii="仿宋" w:eastAsia="仿宋" w:hAnsi="仿宋" w:cs="仿宋" w:hint="eastAsia"/>
        </w:rPr>
        <w:t>单位构成看，纳入本</w:t>
      </w:r>
      <w:r>
        <w:rPr>
          <w:rFonts w:ascii="仿宋" w:eastAsia="仿宋" w:hAnsi="仿宋" w:cs="仿宋" w:hint="eastAsia"/>
          <w:lang w:val="en-US"/>
        </w:rPr>
        <w:t>部门</w:t>
      </w:r>
      <w:r>
        <w:rPr>
          <w:rFonts w:ascii="仿宋" w:eastAsia="仿宋" w:hAnsi="仿宋" w:cs="仿宋" w:hint="eastAsia"/>
        </w:rPr>
        <w:t>2026</w:t>
      </w:r>
      <w:r>
        <w:rPr>
          <w:rFonts w:ascii="仿宋" w:eastAsia="仿宋" w:hAnsi="仿宋" w:cs="仿宋" w:hint="eastAsia"/>
        </w:rPr>
        <w:t>年</w:t>
      </w:r>
      <w:r>
        <w:rPr>
          <w:rFonts w:ascii="仿宋" w:eastAsia="仿宋" w:hAnsi="仿宋" w:cs="仿宋" w:hint="eastAsia"/>
          <w:lang w:val="en-US"/>
        </w:rPr>
        <w:t>部门</w:t>
      </w:r>
      <w:r>
        <w:rPr>
          <w:rFonts w:ascii="仿宋" w:eastAsia="仿宋" w:hAnsi="仿宋" w:cs="仿宋" w:hint="eastAsia"/>
        </w:rPr>
        <w:t>汇总</w:t>
      </w:r>
      <w:r>
        <w:rPr>
          <w:rFonts w:ascii="仿宋" w:eastAsia="仿宋" w:hAnsi="仿宋" w:cs="仿宋" w:hint="eastAsia"/>
        </w:rPr>
        <w:t>预算</w:t>
      </w:r>
      <w:r>
        <w:rPr>
          <w:rFonts w:ascii="仿宋" w:eastAsia="仿宋" w:hAnsi="仿宋" w:cs="仿宋" w:hint="eastAsia"/>
        </w:rPr>
        <w:t>编制范围的预算单位共计</w:t>
      </w:r>
      <w:r>
        <w:rPr>
          <w:rFonts w:ascii="仿宋" w:eastAsia="仿宋" w:hAnsi="仿宋" w:cs="仿宋"/>
        </w:rPr>
        <w:t>7</w:t>
      </w:r>
      <w:r>
        <w:rPr>
          <w:rFonts w:ascii="仿宋" w:eastAsia="仿宋" w:hAnsi="仿宋" w:cs="仿宋" w:hint="eastAsia"/>
        </w:rPr>
        <w:t>家，具体包括：</w:t>
      </w:r>
      <w:r>
        <w:rPr>
          <w:rFonts w:ascii="仿宋" w:eastAsia="仿宋" w:hAnsi="仿宋" w:cs="仿宋"/>
        </w:rPr>
        <w:t>无锡市自然资源和规划局（本级），无锡市土地储备中心（无锡市自然资源监管保障中心），无锡市不动产登记中心，无锡市林业总站，无锡市自然资源交易和服务中心，无锡市规划设计研究院，无锡市国土空间规划编制研究中心。</w:t>
      </w:r>
    </w:p>
    <w:p w:rsidR="00BA3F0B" w:rsidRDefault="00827830">
      <w:pPr>
        <w:pStyle w:val="a4"/>
        <w:spacing w:line="360" w:lineRule="auto"/>
        <w:ind w:leftChars="200" w:left="440" w:rightChars="229" w:right="504" w:firstLine="658"/>
        <w:jc w:val="both"/>
        <w:rPr>
          <w:rFonts w:ascii="仿宋" w:eastAsia="仿宋" w:hAnsi="仿宋" w:cs="仿宋"/>
          <w:b/>
          <w:bCs/>
        </w:rPr>
      </w:pPr>
      <w:r>
        <w:rPr>
          <w:rFonts w:ascii="仿宋" w:eastAsia="仿宋" w:hAnsi="仿宋" w:cs="仿宋" w:hint="eastAsia"/>
          <w:b/>
          <w:bCs/>
        </w:rPr>
        <w:t>三、</w:t>
      </w:r>
      <w:r>
        <w:rPr>
          <w:rFonts w:ascii="仿宋" w:eastAsia="仿宋" w:hAnsi="仿宋" w:cs="仿宋" w:hint="eastAsia"/>
          <w:b/>
          <w:bCs/>
        </w:rPr>
        <w:t>2026</w:t>
      </w:r>
      <w:r>
        <w:rPr>
          <w:rFonts w:ascii="仿宋" w:eastAsia="仿宋" w:hAnsi="仿宋" w:cs="仿宋" w:hint="eastAsia"/>
          <w:b/>
          <w:bCs/>
        </w:rPr>
        <w:t>年度</w:t>
      </w:r>
      <w:r>
        <w:rPr>
          <w:rFonts w:ascii="仿宋" w:eastAsia="仿宋" w:hAnsi="仿宋" w:cs="仿宋"/>
          <w:b/>
        </w:rPr>
        <w:t>部门主要工作任务及目标</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（一）加强对重点空间的规划引导和支撑。衔接</w:t>
      </w:r>
      <w:r>
        <w:rPr>
          <w:rFonts w:ascii="仿宋" w:eastAsia="仿宋" w:hAnsi="仿宋" w:cs="仿宋"/>
        </w:rPr>
        <w:t>“</w:t>
      </w:r>
      <w:r>
        <w:rPr>
          <w:rFonts w:ascii="仿宋" w:eastAsia="仿宋" w:hAnsi="仿宋" w:cs="仿宋"/>
        </w:rPr>
        <w:t>十五五</w:t>
      </w:r>
      <w:r>
        <w:rPr>
          <w:rFonts w:ascii="仿宋" w:eastAsia="仿宋" w:hAnsi="仿宋" w:cs="仿宋"/>
        </w:rPr>
        <w:t>”</w:t>
      </w:r>
      <w:r>
        <w:rPr>
          <w:rFonts w:ascii="仿宋" w:eastAsia="仿宋" w:hAnsi="仿宋" w:cs="仿宋"/>
        </w:rPr>
        <w:t>发展规划，从四个层面引导无锡现代化人民城市建设。战</w:t>
      </w:r>
      <w:r>
        <w:rPr>
          <w:rFonts w:ascii="仿宋" w:eastAsia="仿宋" w:hAnsi="仿宋" w:cs="仿宋"/>
        </w:rPr>
        <w:lastRenderedPageBreak/>
        <w:t>略层面，识别发展基础好、增长潜力大、带动能力强的关键区域，提</w:t>
      </w:r>
      <w:r>
        <w:rPr>
          <w:rFonts w:ascii="仿宋" w:eastAsia="仿宋" w:hAnsi="仿宋" w:cs="仿宋"/>
        </w:rPr>
        <w:t>出提升城市活力和增强发展动力的规划策略。重点指导新吴区高水平开展两区融合空间整合规划编制工作，充分发挥融合优势。空间层面，结合改革以及总体规划动态维护，支持</w:t>
      </w:r>
      <w:r>
        <w:rPr>
          <w:rFonts w:ascii="仿宋" w:eastAsia="仿宋" w:hAnsi="仿宋" w:cs="仿宋"/>
        </w:rPr>
        <w:t>“</w:t>
      </w:r>
      <w:r>
        <w:rPr>
          <w:rFonts w:ascii="仿宋" w:eastAsia="仿宋" w:hAnsi="仿宋" w:cs="仿宋"/>
        </w:rPr>
        <w:t>三条控制线</w:t>
      </w:r>
      <w:r>
        <w:rPr>
          <w:rFonts w:ascii="仿宋" w:eastAsia="仿宋" w:hAnsi="仿宋" w:cs="仿宋"/>
        </w:rPr>
        <w:t>”</w:t>
      </w:r>
      <w:r>
        <w:rPr>
          <w:rFonts w:ascii="仿宋" w:eastAsia="仿宋" w:hAnsi="仿宋" w:cs="仿宋"/>
        </w:rPr>
        <w:t>的正向优化，助力重点区域的空间保障。强化锡澄锡宜一体化发展，开展锡宜协同创新产业示范区规划研究，加快一体化发展步伐。指导开展转型发展背景下城市交通规划建设对策研究，为道路和轨道规划建设提供支撑。品质层面，做好规划管控，支持市、区各级各类中心区及重点功能区等片区弹性高效开发，结合实际需求场景，针对性开展刚弹结合、统筹近远期的规划管理，融合运用</w:t>
      </w:r>
      <w:r>
        <w:rPr>
          <w:rFonts w:ascii="仿宋" w:eastAsia="仿宋" w:hAnsi="仿宋" w:cs="仿宋"/>
        </w:rPr>
        <w:t>兼容、混合、留白用地、近期图则及短期开发等方式，释放空间资源活力；持续指导各板块优化功能区空间布局，指导各板块完善重大功能区城市设计；营造产业园区特色场所，打造特色景观、标志性建筑，增加高品质交流空间，盘活旧厂房、仓库等存量空间，鼓励将工业遗址、历史建筑改造为博物馆、交流中心，推动从</w:t>
      </w:r>
      <w:r>
        <w:rPr>
          <w:rFonts w:ascii="仿宋" w:eastAsia="仿宋" w:hAnsi="仿宋" w:cs="仿宋"/>
        </w:rPr>
        <w:t>“</w:t>
      </w:r>
      <w:r>
        <w:rPr>
          <w:rFonts w:ascii="仿宋" w:eastAsia="仿宋" w:hAnsi="仿宋" w:cs="仿宋"/>
        </w:rPr>
        <w:t>生产导向</w:t>
      </w:r>
      <w:r>
        <w:rPr>
          <w:rFonts w:ascii="仿宋" w:eastAsia="仿宋" w:hAnsi="仿宋" w:cs="仿宋"/>
        </w:rPr>
        <w:t>”</w:t>
      </w:r>
      <w:r>
        <w:rPr>
          <w:rFonts w:ascii="仿宋" w:eastAsia="仿宋" w:hAnsi="仿宋" w:cs="仿宋"/>
        </w:rPr>
        <w:t>向</w:t>
      </w:r>
      <w:r>
        <w:rPr>
          <w:rFonts w:ascii="仿宋" w:eastAsia="仿宋" w:hAnsi="仿宋" w:cs="仿宋"/>
        </w:rPr>
        <w:t>“</w:t>
      </w:r>
      <w:r>
        <w:rPr>
          <w:rFonts w:ascii="仿宋" w:eastAsia="仿宋" w:hAnsi="仿宋" w:cs="仿宋"/>
        </w:rPr>
        <w:t>人本导向</w:t>
      </w:r>
      <w:r>
        <w:rPr>
          <w:rFonts w:ascii="仿宋" w:eastAsia="仿宋" w:hAnsi="仿宋" w:cs="仿宋"/>
        </w:rPr>
        <w:t>”</w:t>
      </w:r>
      <w:r>
        <w:rPr>
          <w:rFonts w:ascii="仿宋" w:eastAsia="仿宋" w:hAnsi="仿宋" w:cs="仿宋"/>
        </w:rPr>
        <w:t>转变。制度层面，以高水平的城市设计引领片区发展，完善片区规划、重要节点区域、市级重大项目选址、设计方案等分级审核审查机制，提升区域特色与城市认知度。</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（二）优化永久基本农田和耕林布局。提优空间，组织编制耕地保护和国土绿化空间专项规划，在</w:t>
      </w:r>
      <w:r>
        <w:rPr>
          <w:rFonts w:ascii="仿宋" w:eastAsia="仿宋" w:hAnsi="仿宋" w:cs="仿宋"/>
        </w:rPr>
        <w:t>“</w:t>
      </w:r>
      <w:r>
        <w:rPr>
          <w:rFonts w:ascii="仿宋" w:eastAsia="仿宋" w:hAnsi="仿宋" w:cs="仿宋"/>
        </w:rPr>
        <w:t>一张图</w:t>
      </w:r>
      <w:r>
        <w:rPr>
          <w:rFonts w:ascii="仿宋" w:eastAsia="仿宋" w:hAnsi="仿宋" w:cs="仿宋"/>
        </w:rPr>
        <w:t>”</w:t>
      </w:r>
      <w:r>
        <w:rPr>
          <w:rFonts w:ascii="仿宋" w:eastAsia="仿宋" w:hAnsi="仿宋" w:cs="仿宋"/>
        </w:rPr>
        <w:t>上统筹划定耕地保护、林地保护、补充耕地、补充林地四类空间，解决</w:t>
      </w:r>
      <w:r>
        <w:rPr>
          <w:rFonts w:ascii="仿宋" w:eastAsia="仿宋" w:hAnsi="仿宋" w:cs="仿宋"/>
        </w:rPr>
        <w:lastRenderedPageBreak/>
        <w:t>空间矛盾。净增耕地，持续推进耕地保护</w:t>
      </w:r>
      <w:r>
        <w:rPr>
          <w:rFonts w:ascii="仿宋" w:eastAsia="仿宋" w:hAnsi="仿宋" w:cs="仿宋"/>
        </w:rPr>
        <w:t>“</w:t>
      </w:r>
      <w:r>
        <w:rPr>
          <w:rFonts w:ascii="仿宋" w:eastAsia="仿宋" w:hAnsi="仿宋" w:cs="仿宋"/>
        </w:rPr>
        <w:t>三提两严</w:t>
      </w:r>
      <w:r>
        <w:rPr>
          <w:rFonts w:ascii="仿宋" w:eastAsia="仿宋" w:hAnsi="仿宋" w:cs="仿宋"/>
        </w:rPr>
        <w:t>”</w:t>
      </w:r>
      <w:r>
        <w:rPr>
          <w:rFonts w:ascii="仿宋" w:eastAsia="仿宋" w:hAnsi="仿宋" w:cs="仿宋"/>
        </w:rPr>
        <w:t>行动，计划再新增</w:t>
      </w:r>
      <w:r>
        <w:rPr>
          <w:rFonts w:ascii="仿宋" w:eastAsia="仿宋" w:hAnsi="仿宋" w:cs="仿宋"/>
        </w:rPr>
        <w:t>36</w:t>
      </w:r>
      <w:r>
        <w:rPr>
          <w:rFonts w:ascii="仿宋" w:eastAsia="仿宋" w:hAnsi="仿宋" w:cs="仿宋"/>
        </w:rPr>
        <w:t>个千亩片、</w:t>
      </w:r>
      <w:r>
        <w:rPr>
          <w:rFonts w:ascii="仿宋" w:eastAsia="仿宋" w:hAnsi="仿宋" w:cs="仿宋"/>
        </w:rPr>
        <w:t>304</w:t>
      </w:r>
      <w:r>
        <w:rPr>
          <w:rFonts w:ascii="仿宋" w:eastAsia="仿宋" w:hAnsi="仿宋" w:cs="仿宋"/>
        </w:rPr>
        <w:t>个百亩片，净增耕地</w:t>
      </w:r>
      <w:r>
        <w:rPr>
          <w:rFonts w:ascii="仿宋" w:eastAsia="仿宋" w:hAnsi="仿宋" w:cs="仿宋"/>
        </w:rPr>
        <w:t>1</w:t>
      </w:r>
      <w:r>
        <w:rPr>
          <w:rFonts w:ascii="仿宋" w:eastAsia="仿宋" w:hAnsi="仿宋" w:cs="仿宋"/>
        </w:rPr>
        <w:t>万亩。易地代保，加强补充耕地市域统筹调剂，结合改革，组织有条件地区逐步接回易地代保的永久基本农田，探索将开发边界内零星分散的永久基本农田布局集聚提升，或等量提质置换到边界外。</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（三）深化规划用地政策的融合创新，更好支撑城市更新和存量资源盘活再利用。以</w:t>
      </w:r>
      <w:r>
        <w:rPr>
          <w:rFonts w:ascii="仿宋" w:eastAsia="仿宋" w:hAnsi="仿宋" w:cs="仿宋"/>
        </w:rPr>
        <w:t>土地领域的要素市场化配置改革为抓手，以运河汇、伯渎港公园、恒隆、东裕产业园等改革场景示范为突破口，结合产业空间优化焕新、低效用地再开发试点等工作，构建</w:t>
      </w:r>
      <w:r>
        <w:rPr>
          <w:rFonts w:ascii="仿宋" w:eastAsia="仿宋" w:hAnsi="仿宋" w:cs="仿宋"/>
        </w:rPr>
        <w:t>“3+4+1”</w:t>
      </w:r>
      <w:r>
        <w:rPr>
          <w:rFonts w:ascii="仿宋" w:eastAsia="仿宋" w:hAnsi="仿宋" w:cs="仿宋"/>
        </w:rPr>
        <w:t>政策体系。首批将聚焦工业研发、商业服务业、住宅、公共设施等配置更新，以及开发边界外等保障难点，从</w:t>
      </w:r>
      <w:r>
        <w:rPr>
          <w:rFonts w:ascii="仿宋" w:eastAsia="仿宋" w:hAnsi="仿宋" w:cs="仿宋"/>
        </w:rPr>
        <w:t>“</w:t>
      </w:r>
      <w:r>
        <w:rPr>
          <w:rFonts w:ascii="仿宋" w:eastAsia="仿宋" w:hAnsi="仿宋" w:cs="仿宋"/>
        </w:rPr>
        <w:t>规储供用登</w:t>
      </w:r>
      <w:r>
        <w:rPr>
          <w:rFonts w:ascii="仿宋" w:eastAsia="仿宋" w:hAnsi="仿宋" w:cs="仿宋"/>
        </w:rPr>
        <w:t>”</w:t>
      </w:r>
      <w:r>
        <w:rPr>
          <w:rFonts w:ascii="仿宋" w:eastAsia="仿宋" w:hAnsi="仿宋" w:cs="仿宋"/>
        </w:rPr>
        <w:t>全业务链来细化政策支撑，激发空间要素活力。开展自然资源资产清查和盘活利用。推进城市更新落地，做好详细规划适应性优化，以城市更新专项规划为指引，配合指导各地编制片区策划及项目实施方案。</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（四）开展重大项目要素保障攻坚行动。落实</w:t>
      </w:r>
      <w:r>
        <w:rPr>
          <w:rFonts w:ascii="仿宋" w:eastAsia="仿宋" w:hAnsi="仿宋" w:cs="仿宋"/>
        </w:rPr>
        <w:t>“</w:t>
      </w:r>
      <w:r>
        <w:rPr>
          <w:rFonts w:ascii="仿宋" w:eastAsia="仿宋" w:hAnsi="仿宋" w:cs="仿宋"/>
        </w:rPr>
        <w:t>项目专员制</w:t>
      </w:r>
      <w:r>
        <w:rPr>
          <w:rFonts w:ascii="仿宋" w:eastAsia="仿宋" w:hAnsi="仿宋" w:cs="仿宋"/>
        </w:rPr>
        <w:t>”</w:t>
      </w:r>
      <w:r>
        <w:rPr>
          <w:rFonts w:ascii="仿宋" w:eastAsia="仿宋" w:hAnsi="仿宋" w:cs="仿宋"/>
        </w:rPr>
        <w:t>，实行重大项目</w:t>
      </w:r>
      <w:r>
        <w:rPr>
          <w:rFonts w:ascii="仿宋" w:eastAsia="仿宋" w:hAnsi="仿宋" w:cs="仿宋"/>
        </w:rPr>
        <w:t>“</w:t>
      </w:r>
      <w:r>
        <w:rPr>
          <w:rFonts w:ascii="仿宋" w:eastAsia="仿宋" w:hAnsi="仿宋" w:cs="仿宋"/>
        </w:rPr>
        <w:t>专班推进</w:t>
      </w:r>
      <w:r>
        <w:rPr>
          <w:rFonts w:ascii="仿宋" w:eastAsia="仿宋" w:hAnsi="仿宋" w:cs="仿宋"/>
        </w:rPr>
        <w:t>+</w:t>
      </w:r>
      <w:r>
        <w:rPr>
          <w:rFonts w:ascii="仿宋" w:eastAsia="仿宋" w:hAnsi="仿宋" w:cs="仿宋"/>
        </w:rPr>
        <w:t>清单管理</w:t>
      </w:r>
      <w:r>
        <w:rPr>
          <w:rFonts w:ascii="仿宋" w:eastAsia="仿宋" w:hAnsi="仿宋" w:cs="仿宋"/>
        </w:rPr>
        <w:t>”</w:t>
      </w:r>
      <w:r>
        <w:rPr>
          <w:rFonts w:ascii="仿宋" w:eastAsia="仿宋" w:hAnsi="仿宋" w:cs="仿宋"/>
        </w:rPr>
        <w:t>，锚定开工目标，</w:t>
      </w:r>
      <w:r>
        <w:rPr>
          <w:rFonts w:ascii="仿宋" w:eastAsia="仿宋" w:hAnsi="仿宋" w:cs="仿宋"/>
        </w:rPr>
        <w:t>“</w:t>
      </w:r>
      <w:r>
        <w:rPr>
          <w:rFonts w:ascii="仿宋" w:eastAsia="仿宋" w:hAnsi="仿宋" w:cs="仿宋"/>
        </w:rPr>
        <w:t>一项一策</w:t>
      </w:r>
      <w:r>
        <w:rPr>
          <w:rFonts w:ascii="仿宋" w:eastAsia="仿宋" w:hAnsi="仿宋" w:cs="仿宋"/>
        </w:rPr>
        <w:t>”</w:t>
      </w:r>
      <w:r>
        <w:rPr>
          <w:rFonts w:ascii="仿宋" w:eastAsia="仿宋" w:hAnsi="仿宋" w:cs="仿宋"/>
        </w:rPr>
        <w:t>落实专员主动全程跟进，提供</w:t>
      </w:r>
      <w:r>
        <w:rPr>
          <w:rFonts w:ascii="仿宋" w:eastAsia="仿宋" w:hAnsi="仿宋" w:cs="仿宋"/>
        </w:rPr>
        <w:t>“</w:t>
      </w:r>
      <w:r>
        <w:rPr>
          <w:rFonts w:ascii="仿宋" w:eastAsia="仿宋" w:hAnsi="仿宋" w:cs="仿宋"/>
        </w:rPr>
        <w:t>即来即办</w:t>
      </w:r>
      <w:r>
        <w:rPr>
          <w:rFonts w:ascii="仿宋" w:eastAsia="仿宋" w:hAnsi="仿宋" w:cs="仿宋"/>
        </w:rPr>
        <w:t>”“</w:t>
      </w:r>
      <w:r>
        <w:rPr>
          <w:rFonts w:ascii="仿宋" w:eastAsia="仿宋" w:hAnsi="仿宋" w:cs="仿宋"/>
        </w:rPr>
        <w:t>快报快审</w:t>
      </w:r>
      <w:r>
        <w:rPr>
          <w:rFonts w:ascii="仿宋" w:eastAsia="仿宋" w:hAnsi="仿宋" w:cs="仿宋"/>
        </w:rPr>
        <w:t>”</w:t>
      </w:r>
      <w:r>
        <w:rPr>
          <w:rFonts w:ascii="仿宋" w:eastAsia="仿宋" w:hAnsi="仿宋" w:cs="仿宋"/>
        </w:rPr>
        <w:t>等服务，为经济回升向好提供坚实支撑。深入开展</w:t>
      </w:r>
      <w:r>
        <w:rPr>
          <w:rFonts w:ascii="仿宋" w:eastAsia="仿宋" w:hAnsi="仿宋" w:cs="仿宋"/>
        </w:rPr>
        <w:t>“</w:t>
      </w:r>
      <w:r>
        <w:rPr>
          <w:rFonts w:ascii="仿宋" w:eastAsia="仿宋" w:hAnsi="仿宋" w:cs="仿宋"/>
        </w:rPr>
        <w:t>换位跑一次</w:t>
      </w:r>
      <w:r>
        <w:rPr>
          <w:rFonts w:ascii="仿宋" w:eastAsia="仿宋" w:hAnsi="仿宋" w:cs="仿宋"/>
        </w:rPr>
        <w:t>”“</w:t>
      </w:r>
      <w:r>
        <w:rPr>
          <w:rFonts w:ascii="仿宋" w:eastAsia="仿宋" w:hAnsi="仿宋" w:cs="仿宋"/>
        </w:rPr>
        <w:t>两为</w:t>
      </w:r>
      <w:r>
        <w:rPr>
          <w:rFonts w:ascii="仿宋" w:eastAsia="仿宋" w:hAnsi="仿宋" w:cs="仿宋"/>
        </w:rPr>
        <w:t>”</w:t>
      </w:r>
      <w:r>
        <w:rPr>
          <w:rFonts w:ascii="仿宋" w:eastAsia="仿宋" w:hAnsi="仿宋" w:cs="仿宋"/>
        </w:rPr>
        <w:t>行动，梳理精简审批流程，深化用地用林合并审批，推动专题论证</w:t>
      </w:r>
      <w:r>
        <w:rPr>
          <w:rFonts w:ascii="仿宋" w:eastAsia="仿宋" w:hAnsi="仿宋" w:cs="仿宋"/>
        </w:rPr>
        <w:t>“</w:t>
      </w:r>
      <w:r>
        <w:rPr>
          <w:rFonts w:ascii="仿宋" w:eastAsia="仿宋" w:hAnsi="仿宋" w:cs="仿宋"/>
        </w:rPr>
        <w:t>能并则并、能简尽简</w:t>
      </w:r>
      <w:r>
        <w:rPr>
          <w:rFonts w:ascii="仿宋" w:eastAsia="仿宋" w:hAnsi="仿宋" w:cs="仿宋"/>
        </w:rPr>
        <w:t>”</w:t>
      </w:r>
      <w:r>
        <w:rPr>
          <w:rFonts w:ascii="仿宋" w:eastAsia="仿宋" w:hAnsi="仿宋" w:cs="仿宋"/>
        </w:rPr>
        <w:t>，探索土地征收并联等工作机制，推行</w:t>
      </w:r>
      <w:r>
        <w:rPr>
          <w:rFonts w:ascii="仿宋" w:eastAsia="仿宋" w:hAnsi="仿宋" w:cs="仿宋"/>
        </w:rPr>
        <w:t>“</w:t>
      </w:r>
      <w:r>
        <w:rPr>
          <w:rFonts w:ascii="仿宋" w:eastAsia="仿宋" w:hAnsi="仿宋" w:cs="仿宋"/>
        </w:rPr>
        <w:t>一次公示、三证联发</w:t>
      </w:r>
      <w:r>
        <w:rPr>
          <w:rFonts w:ascii="仿宋" w:eastAsia="仿宋" w:hAnsi="仿宋" w:cs="仿宋"/>
        </w:rPr>
        <w:t>”</w:t>
      </w:r>
      <w:r>
        <w:rPr>
          <w:rFonts w:ascii="仿宋" w:eastAsia="仿宋" w:hAnsi="仿宋" w:cs="仿宋"/>
        </w:rPr>
        <w:t>，最</w:t>
      </w:r>
      <w:r>
        <w:rPr>
          <w:rFonts w:ascii="仿宋" w:eastAsia="仿宋" w:hAnsi="仿宋" w:cs="仿宋"/>
        </w:rPr>
        <w:lastRenderedPageBreak/>
        <w:t>大限度提速增效。妥善做好征地区片地价公布实施工作，尽快做好处置预案，排查可能导致风险的地块，及时化解矛盾冲突，密切关注并妥善处置网络舆情。</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（五）探索生态可持续发展模式。全力对上争取，争取自然</w:t>
      </w:r>
      <w:r>
        <w:rPr>
          <w:rFonts w:ascii="仿宋" w:eastAsia="仿宋" w:hAnsi="仿宋" w:cs="仿宋"/>
        </w:rPr>
        <w:t>保护地整合优化方案尽早获批，加快推进风景名胜区规划报审工作，优化生态格局。抓好项目实施，实施太湖流域宜兴段、大运河文化带等国省示范工程，提前谋划</w:t>
      </w:r>
      <w:r>
        <w:rPr>
          <w:rFonts w:ascii="仿宋" w:eastAsia="仿宋" w:hAnsi="仿宋" w:cs="仿宋"/>
        </w:rPr>
        <w:t>“</w:t>
      </w:r>
      <w:r>
        <w:rPr>
          <w:rFonts w:ascii="仿宋" w:eastAsia="仿宋" w:hAnsi="仿宋" w:cs="仿宋"/>
        </w:rPr>
        <w:t>十五五</w:t>
      </w:r>
      <w:r>
        <w:rPr>
          <w:rFonts w:ascii="仿宋" w:eastAsia="仿宋" w:hAnsi="仿宋" w:cs="仿宋"/>
        </w:rPr>
        <w:t>”</w:t>
      </w:r>
      <w:r>
        <w:rPr>
          <w:rFonts w:ascii="仿宋" w:eastAsia="仿宋" w:hAnsi="仿宋" w:cs="仿宋"/>
        </w:rPr>
        <w:t>国家山水工程，支持宜兴新建及惠山前洲、玉祁等街道跨镇域开展全域综合整治。探索创新机制，结合项目实施，研究鼓励社会资本参与和林业碳汇项目开发等路径机制，打造更多自然资源领域生态产品实现典型案例，释放绿色生态价值，更好践行</w:t>
      </w:r>
      <w:r>
        <w:rPr>
          <w:rFonts w:ascii="仿宋" w:eastAsia="仿宋" w:hAnsi="仿宋" w:cs="仿宋"/>
        </w:rPr>
        <w:t>“</w:t>
      </w:r>
      <w:r>
        <w:rPr>
          <w:rFonts w:ascii="仿宋" w:eastAsia="仿宋" w:hAnsi="仿宋" w:cs="仿宋"/>
        </w:rPr>
        <w:t>两山</w:t>
      </w:r>
      <w:r>
        <w:rPr>
          <w:rFonts w:ascii="仿宋" w:eastAsia="仿宋" w:hAnsi="仿宋" w:cs="仿宋"/>
        </w:rPr>
        <w:t>”</w:t>
      </w:r>
      <w:r>
        <w:rPr>
          <w:rFonts w:ascii="仿宋" w:eastAsia="仿宋" w:hAnsi="仿宋" w:cs="仿宋"/>
        </w:rPr>
        <w:t>理念。</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（六）全力稳市场、提品质、优结构。按照</w:t>
      </w:r>
      <w:r>
        <w:rPr>
          <w:rFonts w:ascii="仿宋" w:eastAsia="仿宋" w:hAnsi="仿宋" w:cs="仿宋"/>
        </w:rPr>
        <w:t>“</w:t>
      </w:r>
      <w:r>
        <w:rPr>
          <w:rFonts w:ascii="仿宋" w:eastAsia="仿宋" w:hAnsi="仿宋" w:cs="仿宋"/>
        </w:rPr>
        <w:t>盘供平衡</w:t>
      </w:r>
      <w:r>
        <w:rPr>
          <w:rFonts w:ascii="仿宋" w:eastAsia="仿宋" w:hAnsi="仿宋" w:cs="仿宋"/>
        </w:rPr>
        <w:t>”</w:t>
      </w:r>
      <w:r>
        <w:rPr>
          <w:rFonts w:ascii="仿宋" w:eastAsia="仿宋" w:hAnsi="仿宋" w:cs="仿宋"/>
        </w:rPr>
        <w:t>思路，统筹做好经营性用地出让和闲置地盘活等工作，严格规范开展经营性用地出让</w:t>
      </w:r>
      <w:r>
        <w:rPr>
          <w:rFonts w:ascii="仿宋" w:eastAsia="仿宋" w:hAnsi="仿宋" w:cs="仿宋"/>
        </w:rPr>
        <w:t>工作。</w:t>
      </w:r>
      <w:r>
        <w:rPr>
          <w:rFonts w:ascii="仿宋" w:eastAsia="仿宋" w:hAnsi="仿宋" w:cs="仿宋"/>
        </w:rPr>
        <w:t>“</w:t>
      </w:r>
      <w:r>
        <w:rPr>
          <w:rFonts w:ascii="仿宋" w:eastAsia="仿宋" w:hAnsi="仿宋" w:cs="仿宋"/>
        </w:rPr>
        <w:t>供地块</w:t>
      </w:r>
      <w:r>
        <w:rPr>
          <w:rFonts w:ascii="仿宋" w:eastAsia="仿宋" w:hAnsi="仿宋" w:cs="仿宋"/>
        </w:rPr>
        <w:t>”</w:t>
      </w:r>
      <w:r>
        <w:rPr>
          <w:rFonts w:ascii="仿宋" w:eastAsia="仿宋" w:hAnsi="仿宋" w:cs="仿宋"/>
        </w:rPr>
        <w:t>方面，优先保障核心区域市场稳定，通过</w:t>
      </w:r>
      <w:r>
        <w:rPr>
          <w:rFonts w:ascii="仿宋" w:eastAsia="仿宋" w:hAnsi="仿宋" w:cs="仿宋"/>
        </w:rPr>
        <w:t>“</w:t>
      </w:r>
      <w:r>
        <w:rPr>
          <w:rFonts w:ascii="仿宋" w:eastAsia="仿宋" w:hAnsi="仿宋" w:cs="仿宋"/>
        </w:rPr>
        <w:t>优供应、缓开工、稳价格</w:t>
      </w:r>
      <w:r>
        <w:rPr>
          <w:rFonts w:ascii="仿宋" w:eastAsia="仿宋" w:hAnsi="仿宋" w:cs="仿宋"/>
        </w:rPr>
        <w:t>”</w:t>
      </w:r>
      <w:r>
        <w:rPr>
          <w:rFonts w:ascii="仿宋" w:eastAsia="仿宋" w:hAnsi="仿宋" w:cs="仿宋"/>
        </w:rPr>
        <w:t>，发挥项目专员在土地招商、产业招商工作中的作用，减少市场库存、提振市场信心；制定《高品质住房规划设计要求》，引导</w:t>
      </w:r>
      <w:r>
        <w:rPr>
          <w:rFonts w:ascii="仿宋" w:eastAsia="仿宋" w:hAnsi="仿宋" w:cs="仿宋"/>
        </w:rPr>
        <w:t>“</w:t>
      </w:r>
      <w:r>
        <w:rPr>
          <w:rFonts w:ascii="仿宋" w:eastAsia="仿宋" w:hAnsi="仿宋" w:cs="仿宋"/>
        </w:rPr>
        <w:t>好房子</w:t>
      </w:r>
      <w:r>
        <w:rPr>
          <w:rFonts w:ascii="仿宋" w:eastAsia="仿宋" w:hAnsi="仿宋" w:cs="仿宋"/>
        </w:rPr>
        <w:t>”</w:t>
      </w:r>
      <w:r>
        <w:rPr>
          <w:rFonts w:ascii="仿宋" w:eastAsia="仿宋" w:hAnsi="仿宋" w:cs="仿宋"/>
        </w:rPr>
        <w:t>建设。</w:t>
      </w:r>
      <w:r>
        <w:rPr>
          <w:rFonts w:ascii="仿宋" w:eastAsia="仿宋" w:hAnsi="仿宋" w:cs="仿宋"/>
        </w:rPr>
        <w:t>“</w:t>
      </w:r>
      <w:r>
        <w:rPr>
          <w:rFonts w:ascii="仿宋" w:eastAsia="仿宋" w:hAnsi="仿宋" w:cs="仿宋"/>
        </w:rPr>
        <w:t>盘存量</w:t>
      </w:r>
      <w:r>
        <w:rPr>
          <w:rFonts w:ascii="仿宋" w:eastAsia="仿宋" w:hAnsi="仿宋" w:cs="仿宋"/>
        </w:rPr>
        <w:t>”</w:t>
      </w:r>
      <w:r>
        <w:rPr>
          <w:rFonts w:ascii="仿宋" w:eastAsia="仿宋" w:hAnsi="仿宋" w:cs="仿宋"/>
        </w:rPr>
        <w:t>方面，排定开工、竣工、收回、缓建</w:t>
      </w:r>
      <w:r>
        <w:rPr>
          <w:rFonts w:ascii="仿宋" w:eastAsia="仿宋" w:hAnsi="仿宋" w:cs="仿宋"/>
        </w:rPr>
        <w:t>“</w:t>
      </w:r>
      <w:r>
        <w:rPr>
          <w:rFonts w:ascii="仿宋" w:eastAsia="仿宋" w:hAnsi="仿宋" w:cs="仿宋"/>
        </w:rPr>
        <w:t>四张清单</w:t>
      </w:r>
      <w:r>
        <w:rPr>
          <w:rFonts w:ascii="仿宋" w:eastAsia="仿宋" w:hAnsi="仿宋" w:cs="仿宋"/>
        </w:rPr>
        <w:t>”</w:t>
      </w:r>
      <w:r>
        <w:rPr>
          <w:rFonts w:ascii="仿宋" w:eastAsia="仿宋" w:hAnsi="仿宋" w:cs="仿宋"/>
        </w:rPr>
        <w:t>，推进存量土地</w:t>
      </w:r>
      <w:r>
        <w:rPr>
          <w:rFonts w:ascii="仿宋" w:eastAsia="仿宋" w:hAnsi="仿宋" w:cs="仿宋"/>
        </w:rPr>
        <w:t>“</w:t>
      </w:r>
      <w:r>
        <w:rPr>
          <w:rFonts w:ascii="仿宋" w:eastAsia="仿宋" w:hAnsi="仿宋" w:cs="仿宋"/>
        </w:rPr>
        <w:t>开工一批、竣工一批、收回一批、缓建一批</w:t>
      </w:r>
      <w:r>
        <w:rPr>
          <w:rFonts w:ascii="仿宋" w:eastAsia="仿宋" w:hAnsi="仿宋" w:cs="仿宋"/>
        </w:rPr>
        <w:t>”</w:t>
      </w:r>
      <w:r>
        <w:rPr>
          <w:rFonts w:ascii="仿宋" w:eastAsia="仿宋" w:hAnsi="仿宋" w:cs="仿宋"/>
        </w:rPr>
        <w:t>。</w:t>
      </w:r>
      <w:r>
        <w:rPr>
          <w:rFonts w:ascii="仿宋" w:eastAsia="仿宋" w:hAnsi="仿宋" w:cs="仿宋"/>
        </w:rPr>
        <w:t>“</w:t>
      </w:r>
      <w:r>
        <w:rPr>
          <w:rFonts w:ascii="仿宋" w:eastAsia="仿宋" w:hAnsi="仿宋" w:cs="仿宋"/>
        </w:rPr>
        <w:t>好房子</w:t>
      </w:r>
      <w:r>
        <w:rPr>
          <w:rFonts w:ascii="仿宋" w:eastAsia="仿宋" w:hAnsi="仿宋" w:cs="仿宋"/>
        </w:rPr>
        <w:t>”</w:t>
      </w:r>
      <w:r>
        <w:rPr>
          <w:rFonts w:ascii="仿宋" w:eastAsia="仿宋" w:hAnsi="仿宋" w:cs="仿宋"/>
        </w:rPr>
        <w:t>方面，健全高品质住宅与景观生态住宅配套政策，跟踪已出台管理要求的实施效果，完善相关技术标准；推动高品质住房规划设计支持政策出台，引导住宅</w:t>
      </w:r>
      <w:r>
        <w:rPr>
          <w:rFonts w:ascii="仿宋" w:eastAsia="仿宋" w:hAnsi="仿宋" w:cs="仿宋"/>
        </w:rPr>
        <w:lastRenderedPageBreak/>
        <w:t>品质提升。推进</w:t>
      </w:r>
      <w:r>
        <w:rPr>
          <w:rFonts w:ascii="仿宋" w:eastAsia="仿宋" w:hAnsi="仿宋" w:cs="仿宋"/>
        </w:rPr>
        <w:t>GRMDJF</w:t>
      </w:r>
      <w:r>
        <w:rPr>
          <w:rFonts w:ascii="仿宋" w:eastAsia="仿宋" w:hAnsi="仿宋" w:cs="仿宋"/>
        </w:rPr>
        <w:t>专项行动，持续加强监管</w:t>
      </w:r>
      <w:r>
        <w:rPr>
          <w:rFonts w:ascii="仿宋" w:eastAsia="仿宋" w:hAnsi="仿宋" w:cs="仿宋"/>
        </w:rPr>
        <w:t>，经常性开展回头看，坚决防止问题死灰复燃。</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七）充分发挥无锡特色优势。历史文化名城保护方面，落实国家相关要求，做好历史文化名城的专项调查、规划编制和实施管理，建立无锡百年工商名城的历史文化脉络和历史场景，融入城市更新，彰显城市魅力。大运河保护方面，持续强化大运河文化遗产保护，推动核心监控区多部门协同，在历史文化保护、林地耕地保护等方面形成监管合力；做好中央生态环保督察大运河专项督察的后半篇文章。世界音乐之都方面，配合做好音乐产业相关规划编制，更多体现无锡音乐之都特色亮点；强化音乐之都地标等相关项目的规划用</w:t>
      </w:r>
      <w:r>
        <w:rPr>
          <w:rFonts w:ascii="仿宋" w:eastAsia="仿宋" w:hAnsi="仿宋" w:cs="仿宋"/>
        </w:rPr>
        <w:t>地服务保障；围绕地标及周边片区的功能持续健全和公共空间提升，高质量开展城市设计引导。</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（八）以场景创新推动数智治理转型。加强卫星中心建设，构建</w:t>
      </w:r>
      <w:r>
        <w:rPr>
          <w:rFonts w:ascii="仿宋" w:eastAsia="仿宋" w:hAnsi="仿宋" w:cs="仿宋"/>
        </w:rPr>
        <w:t>“</w:t>
      </w:r>
      <w:r>
        <w:rPr>
          <w:rFonts w:ascii="仿宋" w:eastAsia="仿宋" w:hAnsi="仿宋" w:cs="仿宋"/>
        </w:rPr>
        <w:t>星空地网</w:t>
      </w:r>
      <w:r>
        <w:rPr>
          <w:rFonts w:ascii="仿宋" w:eastAsia="仿宋" w:hAnsi="仿宋" w:cs="仿宋"/>
        </w:rPr>
        <w:t>”</w:t>
      </w:r>
      <w:r>
        <w:rPr>
          <w:rFonts w:ascii="仿宋" w:eastAsia="仿宋" w:hAnsi="仿宋" w:cs="仿宋"/>
        </w:rPr>
        <w:t>一体化监测体系；基于时空数据云平台，整合城市二三维地理空间数据，与城市</w:t>
      </w:r>
      <w:r>
        <w:rPr>
          <w:rFonts w:ascii="仿宋" w:eastAsia="仿宋" w:hAnsi="仿宋" w:cs="仿宋"/>
        </w:rPr>
        <w:t>“</w:t>
      </w:r>
      <w:r>
        <w:rPr>
          <w:rFonts w:ascii="仿宋" w:eastAsia="仿宋" w:hAnsi="仿宋" w:cs="仿宋"/>
        </w:rPr>
        <w:t>一网统管</w:t>
      </w:r>
      <w:r>
        <w:rPr>
          <w:rFonts w:ascii="仿宋" w:eastAsia="仿宋" w:hAnsi="仿宋" w:cs="仿宋"/>
        </w:rPr>
        <w:t>”</w:t>
      </w:r>
      <w:r>
        <w:rPr>
          <w:rFonts w:ascii="仿宋" w:eastAsia="仿宋" w:hAnsi="仿宋" w:cs="仿宋"/>
        </w:rPr>
        <w:t>、应急指挥等系统衔接，为低空经济、车路云一体化等应用提供支撑。推进</w:t>
      </w:r>
      <w:r>
        <w:rPr>
          <w:rFonts w:ascii="仿宋" w:eastAsia="仿宋" w:hAnsi="仿宋" w:cs="仿宋"/>
        </w:rPr>
        <w:t>“</w:t>
      </w:r>
      <w:r>
        <w:rPr>
          <w:rFonts w:ascii="仿宋" w:eastAsia="仿宋" w:hAnsi="仿宋" w:cs="仿宋"/>
        </w:rPr>
        <w:t>一张图、一套数、一体化</w:t>
      </w:r>
      <w:r>
        <w:rPr>
          <w:rFonts w:ascii="仿宋" w:eastAsia="仿宋" w:hAnsi="仿宋" w:cs="仿宋"/>
        </w:rPr>
        <w:t>”</w:t>
      </w:r>
      <w:r>
        <w:rPr>
          <w:rFonts w:ascii="仿宋" w:eastAsia="仿宋" w:hAnsi="仿宋" w:cs="仿宋"/>
        </w:rPr>
        <w:t>建设，依托</w:t>
      </w:r>
      <w:r>
        <w:rPr>
          <w:rFonts w:ascii="仿宋" w:eastAsia="仿宋" w:hAnsi="仿宋" w:cs="仿宋"/>
        </w:rPr>
        <w:t>CIM</w:t>
      </w:r>
      <w:r>
        <w:rPr>
          <w:rFonts w:ascii="仿宋" w:eastAsia="仿宋" w:hAnsi="仿宋" w:cs="仿宋"/>
        </w:rPr>
        <w:t>平台搭建数字空间基座，开发</w:t>
      </w:r>
      <w:r>
        <w:rPr>
          <w:rFonts w:ascii="仿宋" w:eastAsia="仿宋" w:hAnsi="仿宋" w:cs="仿宋"/>
        </w:rPr>
        <w:t>“</w:t>
      </w:r>
      <w:r>
        <w:rPr>
          <w:rFonts w:ascii="仿宋" w:eastAsia="仿宋" w:hAnsi="仿宋" w:cs="仿宋"/>
        </w:rPr>
        <w:t>耕地智保</w:t>
      </w:r>
      <w:r>
        <w:rPr>
          <w:rFonts w:ascii="仿宋" w:eastAsia="仿宋" w:hAnsi="仿宋" w:cs="仿宋"/>
        </w:rPr>
        <w:t>”“</w:t>
      </w:r>
      <w:r>
        <w:rPr>
          <w:rFonts w:ascii="仿宋" w:eastAsia="仿宋" w:hAnsi="仿宋" w:cs="仿宋"/>
        </w:rPr>
        <w:t>空间智绘</w:t>
      </w:r>
      <w:r>
        <w:rPr>
          <w:rFonts w:ascii="仿宋" w:eastAsia="仿宋" w:hAnsi="仿宋" w:cs="仿宋"/>
        </w:rPr>
        <w:t>”“</w:t>
      </w:r>
      <w:r>
        <w:rPr>
          <w:rFonts w:ascii="仿宋" w:eastAsia="仿宋" w:hAnsi="仿宋" w:cs="仿宋"/>
        </w:rPr>
        <w:t>项目智审</w:t>
      </w:r>
      <w:r>
        <w:rPr>
          <w:rFonts w:ascii="仿宋" w:eastAsia="仿宋" w:hAnsi="仿宋" w:cs="仿宋"/>
        </w:rPr>
        <w:t>”“</w:t>
      </w:r>
      <w:r>
        <w:rPr>
          <w:rFonts w:ascii="仿宋" w:eastAsia="仿宋" w:hAnsi="仿宋" w:cs="仿宋"/>
        </w:rPr>
        <w:t>智慧选地</w:t>
      </w:r>
      <w:r>
        <w:rPr>
          <w:rFonts w:ascii="仿宋" w:eastAsia="仿宋" w:hAnsi="仿宋" w:cs="仿宋"/>
        </w:rPr>
        <w:t>”</w:t>
      </w:r>
      <w:r>
        <w:rPr>
          <w:rFonts w:ascii="仿宋" w:eastAsia="仿宋" w:hAnsi="仿宋" w:cs="仿宋"/>
        </w:rPr>
        <w:t>等一批</w:t>
      </w:r>
      <w:r>
        <w:rPr>
          <w:rFonts w:ascii="仿宋" w:eastAsia="仿宋" w:hAnsi="仿宋" w:cs="仿宋"/>
        </w:rPr>
        <w:t>AI+</w:t>
      </w:r>
      <w:r>
        <w:rPr>
          <w:rFonts w:ascii="仿宋" w:eastAsia="仿宋" w:hAnsi="仿宋" w:cs="仿宋"/>
        </w:rPr>
        <w:t>应用场景，提升数智治理水平。</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（九）深化体制机制。推动风景名胜区体制机制改革，修改</w:t>
      </w:r>
      <w:r>
        <w:rPr>
          <w:rFonts w:ascii="仿宋" w:eastAsia="仿宋" w:hAnsi="仿宋" w:cs="仿宋"/>
        </w:rPr>
        <w:t>《无锡市蠡湖景区条例》。加紧推进执法体制改革，优化执法队伍建设，推动执法监管全覆盖，做好耕地、林地、湿地、</w:t>
      </w:r>
      <w:r>
        <w:rPr>
          <w:rFonts w:ascii="仿宋" w:eastAsia="仿宋" w:hAnsi="仿宋" w:cs="仿宋"/>
        </w:rPr>
        <w:lastRenderedPageBreak/>
        <w:t>风景名胜区范围内保护、检查、督查等工作，争取土地违法问题控新清存保持全省第一梯队。加强基层所建设，提升依法履职和服务水平。</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（十）落实安全生产</w:t>
      </w:r>
      <w:r>
        <w:rPr>
          <w:rFonts w:ascii="仿宋" w:eastAsia="仿宋" w:hAnsi="仿宋" w:cs="仿宋"/>
        </w:rPr>
        <w:t>“</w:t>
      </w:r>
      <w:r>
        <w:rPr>
          <w:rFonts w:ascii="仿宋" w:eastAsia="仿宋" w:hAnsi="仿宋" w:cs="仿宋"/>
        </w:rPr>
        <w:t>六化</w:t>
      </w:r>
      <w:r>
        <w:rPr>
          <w:rFonts w:ascii="仿宋" w:eastAsia="仿宋" w:hAnsi="仿宋" w:cs="仿宋"/>
        </w:rPr>
        <w:t>”</w:t>
      </w:r>
      <w:r>
        <w:rPr>
          <w:rFonts w:ascii="仿宋" w:eastAsia="仿宋" w:hAnsi="仿宋" w:cs="仿宋"/>
        </w:rPr>
        <w:t>要求。在安全生产执法检查方面，用好卫星、无人机、铁脚板等举措，构建全覆盖执法检查体系。完善森林防火基础设施建设，落实属地责任、行业监管职责、安全生产</w:t>
      </w:r>
      <w:r>
        <w:rPr>
          <w:rFonts w:ascii="仿宋" w:eastAsia="仿宋" w:hAnsi="仿宋" w:cs="仿宋"/>
        </w:rPr>
        <w:t>“</w:t>
      </w:r>
      <w:r>
        <w:rPr>
          <w:rFonts w:ascii="仿宋" w:eastAsia="仿宋" w:hAnsi="仿宋" w:cs="仿宋"/>
        </w:rPr>
        <w:t>六化</w:t>
      </w:r>
      <w:r>
        <w:rPr>
          <w:rFonts w:ascii="仿宋" w:eastAsia="仿宋" w:hAnsi="仿宋" w:cs="仿宋"/>
        </w:rPr>
        <w:t>”</w:t>
      </w:r>
      <w:r>
        <w:rPr>
          <w:rFonts w:ascii="仿宋" w:eastAsia="仿宋" w:hAnsi="仿宋" w:cs="仿宋"/>
        </w:rPr>
        <w:t>要求，重点加快推动</w:t>
      </w:r>
      <w:r>
        <w:rPr>
          <w:rFonts w:ascii="仿宋" w:eastAsia="仿宋" w:hAnsi="仿宋" w:cs="仿宋"/>
        </w:rPr>
        <w:t>“</w:t>
      </w:r>
      <w:r>
        <w:rPr>
          <w:rFonts w:ascii="仿宋" w:eastAsia="仿宋" w:hAnsi="仿宋" w:cs="仿宋"/>
        </w:rPr>
        <w:t>引水上山、以水灭火</w:t>
      </w:r>
      <w:r>
        <w:rPr>
          <w:rFonts w:ascii="仿宋" w:eastAsia="仿宋" w:hAnsi="仿宋" w:cs="仿宋"/>
        </w:rPr>
        <w:t>”</w:t>
      </w:r>
      <w:r>
        <w:rPr>
          <w:rFonts w:ascii="仿宋" w:eastAsia="仿宋" w:hAnsi="仿宋" w:cs="仿宋"/>
        </w:rPr>
        <w:t>工程、智能监测预警系统、散坟集中区焚烧设施建设，指导涉林镇（</w:t>
      </w:r>
      <w:r>
        <w:rPr>
          <w:rFonts w:ascii="仿宋" w:eastAsia="仿宋" w:hAnsi="仿宋" w:cs="仿宋"/>
        </w:rPr>
        <w:t>街）加强森林消防半专业队伍建设，开展森林火灾</w:t>
      </w:r>
      <w:r>
        <w:rPr>
          <w:rFonts w:ascii="仿宋" w:eastAsia="仿宋" w:hAnsi="仿宋" w:cs="仿宋"/>
        </w:rPr>
        <w:t>“</w:t>
      </w:r>
      <w:r>
        <w:rPr>
          <w:rFonts w:ascii="仿宋" w:eastAsia="仿宋" w:hAnsi="仿宋" w:cs="仿宋"/>
        </w:rPr>
        <w:t>无人机巡灭</w:t>
      </w:r>
      <w:r>
        <w:rPr>
          <w:rFonts w:ascii="仿宋" w:eastAsia="仿宋" w:hAnsi="仿宋" w:cs="仿宋"/>
        </w:rPr>
        <w:t>”</w:t>
      </w:r>
      <w:r>
        <w:rPr>
          <w:rFonts w:ascii="仿宋" w:eastAsia="仿宋" w:hAnsi="仿宋" w:cs="仿宋"/>
        </w:rPr>
        <w:t>试点，着力补缺补短。全面实施地质灾害防治三年行动方案，构建群测群防机制，提升风险预警精度，建设地灾隐患智防体系，形成</w:t>
      </w:r>
      <w:r>
        <w:rPr>
          <w:rFonts w:ascii="仿宋" w:eastAsia="仿宋" w:hAnsi="仿宋" w:cs="仿宋"/>
        </w:rPr>
        <w:t>“</w:t>
      </w:r>
      <w:r>
        <w:rPr>
          <w:rFonts w:ascii="仿宋" w:eastAsia="仿宋" w:hAnsi="仿宋" w:cs="仿宋"/>
        </w:rPr>
        <w:t>人防</w:t>
      </w:r>
      <w:r>
        <w:rPr>
          <w:rFonts w:ascii="仿宋" w:eastAsia="仿宋" w:hAnsi="仿宋" w:cs="仿宋"/>
        </w:rPr>
        <w:t>+</w:t>
      </w:r>
      <w:r>
        <w:rPr>
          <w:rFonts w:ascii="仿宋" w:eastAsia="仿宋" w:hAnsi="仿宋" w:cs="仿宋"/>
        </w:rPr>
        <w:t>技防</w:t>
      </w:r>
      <w:r>
        <w:rPr>
          <w:rFonts w:ascii="仿宋" w:eastAsia="仿宋" w:hAnsi="仿宋" w:cs="仿宋"/>
        </w:rPr>
        <w:t>+</w:t>
      </w:r>
      <w:r>
        <w:rPr>
          <w:rFonts w:ascii="仿宋" w:eastAsia="仿宋" w:hAnsi="仿宋" w:cs="仿宋"/>
        </w:rPr>
        <w:t>智防</w:t>
      </w:r>
      <w:r>
        <w:rPr>
          <w:rFonts w:ascii="仿宋" w:eastAsia="仿宋" w:hAnsi="仿宋" w:cs="仿宋"/>
        </w:rPr>
        <w:t>”</w:t>
      </w:r>
      <w:r>
        <w:rPr>
          <w:rFonts w:ascii="仿宋" w:eastAsia="仿宋" w:hAnsi="仿宋" w:cs="仿宋"/>
        </w:rPr>
        <w:t>监测预警网络；按照《无锡市地质灾害防治能力提升三年行动方案（</w:t>
      </w:r>
      <w:r>
        <w:rPr>
          <w:rFonts w:ascii="仿宋" w:eastAsia="仿宋" w:hAnsi="仿宋" w:cs="仿宋"/>
        </w:rPr>
        <w:t>2025-2027</w:t>
      </w:r>
      <w:r>
        <w:rPr>
          <w:rFonts w:ascii="仿宋" w:eastAsia="仿宋" w:hAnsi="仿宋" w:cs="仿宋"/>
        </w:rPr>
        <w:t>年）》要求，认真抓好贯彻落实；推进同省地质二大队签约内容落实，强化深度融合。</w:t>
      </w:r>
    </w:p>
    <w:p w:rsidR="00BA3F0B" w:rsidRDefault="00827830">
      <w:pPr>
        <w:pStyle w:val="a4"/>
        <w:spacing w:line="360" w:lineRule="auto"/>
        <w:ind w:leftChars="200" w:left="440" w:rightChars="229" w:right="504" w:firstLine="658"/>
        <w:jc w:val="both"/>
        <w:rPr>
          <w:rFonts w:ascii="仿宋" w:eastAsia="仿宋" w:hAnsi="仿宋" w:cs="仿宋"/>
          <w:lang w:val="en-US"/>
        </w:rPr>
      </w:pPr>
      <w:r>
        <w:rPr>
          <w:rFonts w:ascii="仿宋" w:eastAsia="仿宋" w:hAnsi="仿宋" w:cs="仿宋"/>
        </w:rPr>
        <w:t>（十一）全面加强从严治党和队伍建设。坚持党建统领，持续深化责任落实</w:t>
      </w:r>
      <w:r>
        <w:rPr>
          <w:rFonts w:ascii="仿宋" w:eastAsia="仿宋" w:hAnsi="仿宋" w:cs="仿宋"/>
        </w:rPr>
        <w:t>“334”</w:t>
      </w:r>
      <w:r>
        <w:rPr>
          <w:rFonts w:ascii="仿宋" w:eastAsia="仿宋" w:hAnsi="仿宋" w:cs="仿宋"/>
        </w:rPr>
        <w:t>工作模式，推进规范化、信息化、特色化的</w:t>
      </w:r>
      <w:r>
        <w:rPr>
          <w:rFonts w:ascii="仿宋" w:eastAsia="仿宋" w:hAnsi="仿宋" w:cs="仿宋"/>
        </w:rPr>
        <w:t>“</w:t>
      </w:r>
      <w:r>
        <w:rPr>
          <w:rFonts w:ascii="仿宋" w:eastAsia="仿宋" w:hAnsi="仿宋" w:cs="仿宋"/>
        </w:rPr>
        <w:t>三化</w:t>
      </w:r>
      <w:r>
        <w:rPr>
          <w:rFonts w:ascii="仿宋" w:eastAsia="仿宋" w:hAnsi="仿宋" w:cs="仿宋"/>
        </w:rPr>
        <w:t>”</w:t>
      </w:r>
      <w:r>
        <w:rPr>
          <w:rFonts w:ascii="仿宋" w:eastAsia="仿宋" w:hAnsi="仿宋" w:cs="仿宋"/>
        </w:rPr>
        <w:t>建设，深化</w:t>
      </w:r>
      <w:r>
        <w:rPr>
          <w:rFonts w:ascii="仿宋" w:eastAsia="仿宋" w:hAnsi="仿宋" w:cs="仿宋"/>
        </w:rPr>
        <w:t>“</w:t>
      </w:r>
      <w:r>
        <w:rPr>
          <w:rFonts w:ascii="仿宋" w:eastAsia="仿宋" w:hAnsi="仿宋" w:cs="仿宋"/>
        </w:rPr>
        <w:t>两为</w:t>
      </w:r>
      <w:r>
        <w:rPr>
          <w:rFonts w:ascii="仿宋" w:eastAsia="仿宋" w:hAnsi="仿宋" w:cs="仿宋"/>
        </w:rPr>
        <w:t>”</w:t>
      </w:r>
      <w:r>
        <w:rPr>
          <w:rFonts w:ascii="仿宋" w:eastAsia="仿宋" w:hAnsi="仿宋" w:cs="仿宋"/>
        </w:rPr>
        <w:t>、</w:t>
      </w:r>
      <w:r>
        <w:rPr>
          <w:rFonts w:ascii="仿宋" w:eastAsia="仿宋" w:hAnsi="仿宋" w:cs="仿宋"/>
        </w:rPr>
        <w:t>“</w:t>
      </w:r>
      <w:r>
        <w:rPr>
          <w:rFonts w:ascii="仿宋" w:eastAsia="仿宋" w:hAnsi="仿宋" w:cs="仿宋"/>
        </w:rPr>
        <w:t>书记项目</w:t>
      </w:r>
      <w:r>
        <w:rPr>
          <w:rFonts w:ascii="仿宋" w:eastAsia="仿宋" w:hAnsi="仿宋" w:cs="仿宋"/>
        </w:rPr>
        <w:t>”</w:t>
      </w:r>
      <w:r>
        <w:rPr>
          <w:rFonts w:ascii="仿宋" w:eastAsia="仿宋" w:hAnsi="仿宋" w:cs="仿宋"/>
        </w:rPr>
        <w:t>、</w:t>
      </w:r>
      <w:r>
        <w:rPr>
          <w:rFonts w:ascii="仿宋" w:eastAsia="仿宋" w:hAnsi="仿宋" w:cs="仿宋"/>
        </w:rPr>
        <w:t>“</w:t>
      </w:r>
      <w:r>
        <w:rPr>
          <w:rFonts w:ascii="仿宋" w:eastAsia="仿宋" w:hAnsi="仿宋" w:cs="仿宋"/>
        </w:rPr>
        <w:t>先锋</w:t>
      </w:r>
      <w:r>
        <w:rPr>
          <w:rFonts w:ascii="仿宋" w:eastAsia="仿宋" w:hAnsi="仿宋" w:cs="仿宋"/>
        </w:rPr>
        <w:t>行动进小区</w:t>
      </w:r>
      <w:r>
        <w:rPr>
          <w:rFonts w:ascii="仿宋" w:eastAsia="仿宋" w:hAnsi="仿宋" w:cs="仿宋"/>
        </w:rPr>
        <w:t>”</w:t>
      </w:r>
      <w:r>
        <w:rPr>
          <w:rFonts w:ascii="仿宋" w:eastAsia="仿宋" w:hAnsi="仿宋" w:cs="仿宋"/>
        </w:rPr>
        <w:t>、</w:t>
      </w:r>
      <w:r>
        <w:rPr>
          <w:rFonts w:ascii="仿宋" w:eastAsia="仿宋" w:hAnsi="仿宋" w:cs="仿宋"/>
        </w:rPr>
        <w:t>“</w:t>
      </w:r>
      <w:r>
        <w:rPr>
          <w:rFonts w:ascii="仿宋" w:eastAsia="仿宋" w:hAnsi="仿宋" w:cs="仿宋"/>
        </w:rPr>
        <w:t>规划师下乡</w:t>
      </w:r>
      <w:r>
        <w:rPr>
          <w:rFonts w:ascii="仿宋" w:eastAsia="仿宋" w:hAnsi="仿宋" w:cs="仿宋"/>
        </w:rPr>
        <w:t>”</w:t>
      </w:r>
      <w:r>
        <w:rPr>
          <w:rFonts w:ascii="仿宋" w:eastAsia="仿宋" w:hAnsi="仿宋" w:cs="仿宋"/>
        </w:rPr>
        <w:t>等活动，凝练提升党建品牌。建设清廉机关，探索完善全覆盖、滴灌式廉政教育，持续强化风险防控，针对违纪违法案件、巡察反馈问题、审计发现问题，针对性开展廉政风险点排查，持续扎紧制度</w:t>
      </w:r>
      <w:r>
        <w:rPr>
          <w:rFonts w:ascii="仿宋" w:eastAsia="仿宋" w:hAnsi="仿宋" w:cs="仿宋"/>
        </w:rPr>
        <w:t>“</w:t>
      </w:r>
      <w:r>
        <w:rPr>
          <w:rFonts w:ascii="仿宋" w:eastAsia="仿宋" w:hAnsi="仿宋" w:cs="仿宋"/>
        </w:rPr>
        <w:t>笼子</w:t>
      </w:r>
      <w:r>
        <w:rPr>
          <w:rFonts w:ascii="仿宋" w:eastAsia="仿宋" w:hAnsi="仿宋" w:cs="仿宋"/>
        </w:rPr>
        <w:t>”</w:t>
      </w:r>
      <w:r>
        <w:rPr>
          <w:rFonts w:ascii="仿宋" w:eastAsia="仿宋" w:hAnsi="仿宋" w:cs="仿宋"/>
        </w:rPr>
        <w:t>。强化队伍建设，持续加大年青后备干部培养力度，推进规划院雇</w:t>
      </w:r>
      <w:r>
        <w:rPr>
          <w:rFonts w:ascii="仿宋" w:eastAsia="仿宋" w:hAnsi="仿宋" w:cs="仿宋"/>
        </w:rPr>
        <w:lastRenderedPageBreak/>
        <w:t>员制改革、基层所全面建设，常态化开展</w:t>
      </w:r>
      <w:r>
        <w:rPr>
          <w:rFonts w:ascii="仿宋" w:eastAsia="仿宋" w:hAnsi="仿宋" w:cs="仿宋"/>
        </w:rPr>
        <w:t>“</w:t>
      </w:r>
      <w:r>
        <w:rPr>
          <w:rFonts w:ascii="仿宋" w:eastAsia="仿宋" w:hAnsi="仿宋" w:cs="仿宋"/>
        </w:rPr>
        <w:t>全业务、大融合</w:t>
      </w:r>
      <w:r>
        <w:rPr>
          <w:rFonts w:ascii="仿宋" w:eastAsia="仿宋" w:hAnsi="仿宋" w:cs="仿宋"/>
        </w:rPr>
        <w:t>”</w:t>
      </w:r>
      <w:r>
        <w:rPr>
          <w:rFonts w:ascii="仿宋" w:eastAsia="仿宋" w:hAnsi="仿宋" w:cs="仿宋"/>
        </w:rPr>
        <w:t>培训，全方位提升干部队伍能力建设。</w:t>
      </w:r>
    </w:p>
    <w:p w:rsidR="00BA3F0B" w:rsidRDefault="00BA3F0B">
      <w:pPr>
        <w:pStyle w:val="a4"/>
        <w:spacing w:line="235" w:lineRule="auto"/>
        <w:ind w:leftChars="300" w:left="669" w:right="2414" w:hanging="9"/>
        <w:jc w:val="both"/>
        <w:rPr>
          <w:rFonts w:ascii="仿宋" w:eastAsia="仿宋" w:hAnsi="仿宋" w:cs="仿宋"/>
        </w:rPr>
        <w:sectPr w:rsidR="00BA3F0B">
          <w:footerReference w:type="default" r:id="rId11"/>
          <w:pgSz w:w="11906" w:h="16838"/>
          <w:pgMar w:top="1580" w:right="1020" w:bottom="770" w:left="1020" w:header="170" w:footer="280" w:gutter="0"/>
          <w:pgNumType w:fmt="numberInDash"/>
          <w:cols w:space="720"/>
          <w:formProt w:val="0"/>
          <w:docGrid w:linePitch="100"/>
        </w:sectPr>
      </w:pPr>
    </w:p>
    <w:p w:rsidR="00BA3F0B" w:rsidRDefault="00BA3F0B">
      <w:pPr>
        <w:pStyle w:val="a4"/>
        <w:spacing w:line="360" w:lineRule="auto"/>
        <w:ind w:leftChars="200" w:left="440" w:rightChars="229" w:right="504" w:firstLine="658"/>
        <w:jc w:val="both"/>
        <w:rPr>
          <w:rFonts w:ascii="仿宋" w:eastAsia="仿宋" w:hAnsi="仿宋" w:cs="仿宋"/>
          <w:lang w:val="en-US"/>
        </w:rPr>
      </w:pPr>
    </w:p>
    <w:p w:rsidR="00BA3F0B" w:rsidRDefault="00BA3F0B">
      <w:pPr>
        <w:pStyle w:val="10"/>
        <w:tabs>
          <w:tab w:val="left" w:pos="1609"/>
        </w:tabs>
        <w:spacing w:before="12" w:line="300" w:lineRule="auto"/>
        <w:ind w:left="340" w:right="567" w:firstLine="0"/>
        <w:jc w:val="center"/>
        <w:rPr>
          <w:rFonts w:ascii="仿宋" w:eastAsia="仿宋" w:hAnsi="仿宋" w:cs="仿宋"/>
          <w:b/>
          <w:bCs/>
          <w:sz w:val="44"/>
          <w:szCs w:val="44"/>
        </w:rPr>
      </w:pPr>
    </w:p>
    <w:p w:rsidR="00BA3F0B" w:rsidRDefault="00BA3F0B">
      <w:pPr>
        <w:pStyle w:val="10"/>
        <w:tabs>
          <w:tab w:val="left" w:pos="1609"/>
        </w:tabs>
        <w:spacing w:before="12" w:line="300" w:lineRule="auto"/>
        <w:ind w:left="340" w:right="567" w:firstLine="0"/>
        <w:jc w:val="center"/>
        <w:rPr>
          <w:rFonts w:ascii="仿宋" w:eastAsia="仿宋" w:hAnsi="仿宋" w:cs="仿宋"/>
          <w:b/>
          <w:bCs/>
          <w:sz w:val="44"/>
          <w:szCs w:val="44"/>
        </w:rPr>
      </w:pPr>
    </w:p>
    <w:p w:rsidR="00BA3F0B" w:rsidRDefault="00BA3F0B">
      <w:pPr>
        <w:pStyle w:val="10"/>
        <w:tabs>
          <w:tab w:val="left" w:pos="1609"/>
        </w:tabs>
        <w:spacing w:before="12" w:line="300" w:lineRule="auto"/>
        <w:ind w:left="340" w:right="567" w:firstLine="0"/>
        <w:jc w:val="center"/>
        <w:rPr>
          <w:rFonts w:ascii="仿宋" w:eastAsia="仿宋" w:hAnsi="仿宋" w:cs="仿宋"/>
          <w:b/>
          <w:bCs/>
          <w:sz w:val="44"/>
          <w:szCs w:val="44"/>
        </w:rPr>
      </w:pPr>
    </w:p>
    <w:p w:rsidR="00BA3F0B" w:rsidRDefault="00BA3F0B">
      <w:pPr>
        <w:pStyle w:val="10"/>
        <w:tabs>
          <w:tab w:val="left" w:pos="1609"/>
        </w:tabs>
        <w:spacing w:before="12" w:line="300" w:lineRule="auto"/>
        <w:ind w:left="340" w:right="567" w:firstLine="0"/>
        <w:jc w:val="center"/>
        <w:rPr>
          <w:rFonts w:ascii="仿宋" w:eastAsia="仿宋" w:hAnsi="仿宋" w:cs="仿宋"/>
          <w:b/>
          <w:bCs/>
          <w:sz w:val="44"/>
          <w:szCs w:val="44"/>
        </w:rPr>
      </w:pPr>
    </w:p>
    <w:p w:rsidR="00BA3F0B" w:rsidRDefault="00BA3F0B">
      <w:pPr>
        <w:pStyle w:val="10"/>
        <w:tabs>
          <w:tab w:val="left" w:pos="1609"/>
        </w:tabs>
        <w:spacing w:before="12" w:line="300" w:lineRule="auto"/>
        <w:ind w:left="340" w:right="567" w:firstLine="0"/>
        <w:jc w:val="center"/>
        <w:rPr>
          <w:rFonts w:ascii="仿宋" w:eastAsia="仿宋" w:hAnsi="仿宋" w:cs="仿宋"/>
          <w:b/>
          <w:bCs/>
          <w:sz w:val="44"/>
          <w:szCs w:val="44"/>
        </w:rPr>
      </w:pPr>
    </w:p>
    <w:p w:rsidR="00BA3F0B" w:rsidRDefault="00BA3F0B">
      <w:pPr>
        <w:pStyle w:val="10"/>
        <w:tabs>
          <w:tab w:val="left" w:pos="1609"/>
        </w:tabs>
        <w:spacing w:before="12" w:line="300" w:lineRule="auto"/>
        <w:ind w:left="340" w:right="567" w:firstLine="0"/>
        <w:jc w:val="center"/>
        <w:rPr>
          <w:rFonts w:ascii="仿宋" w:eastAsia="仿宋" w:hAnsi="仿宋" w:cs="仿宋"/>
          <w:b/>
          <w:bCs/>
          <w:sz w:val="44"/>
          <w:szCs w:val="44"/>
        </w:rPr>
      </w:pPr>
    </w:p>
    <w:p w:rsidR="00BA3F0B" w:rsidRDefault="00827830">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第二部分</w:t>
      </w:r>
    </w:p>
    <w:p w:rsidR="00BA3F0B" w:rsidRDefault="00827830">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2026</w:t>
      </w:r>
      <w:r>
        <w:rPr>
          <w:rFonts w:ascii="仿宋" w:eastAsia="仿宋" w:hAnsi="仿宋" w:cs="仿宋" w:hint="eastAsia"/>
          <w:b/>
          <w:bCs/>
          <w:sz w:val="44"/>
          <w:szCs w:val="44"/>
        </w:rPr>
        <w:t>年度</w:t>
      </w:r>
    </w:p>
    <w:p w:rsidR="00BA3F0B" w:rsidRDefault="00827830">
      <w:pPr>
        <w:pStyle w:val="10"/>
        <w:tabs>
          <w:tab w:val="left" w:pos="1609"/>
        </w:tabs>
        <w:spacing w:before="12" w:line="300" w:lineRule="auto"/>
        <w:ind w:left="340" w:right="567" w:firstLine="0"/>
        <w:jc w:val="center"/>
        <w:rPr>
          <w:rFonts w:ascii="仿宋" w:eastAsia="仿宋" w:hAnsi="仿宋" w:cs="仿宋"/>
          <w:b/>
          <w:bCs/>
          <w:sz w:val="44"/>
          <w:szCs w:val="44"/>
        </w:rPr>
      </w:pPr>
      <w:r>
        <w:rPr>
          <w:rFonts w:ascii="仿宋" w:eastAsia="仿宋" w:hAnsi="仿宋" w:cs="仿宋" w:hint="eastAsia"/>
          <w:b/>
          <w:bCs/>
          <w:sz w:val="44"/>
          <w:szCs w:val="44"/>
        </w:rPr>
        <w:t>无锡市自然资源和规划局</w:t>
      </w:r>
    </w:p>
    <w:p w:rsidR="00BA3F0B" w:rsidRDefault="00827830">
      <w:pPr>
        <w:pStyle w:val="10"/>
        <w:tabs>
          <w:tab w:val="left" w:pos="1609"/>
        </w:tabs>
        <w:spacing w:before="12" w:line="300" w:lineRule="auto"/>
        <w:ind w:left="340" w:right="567" w:firstLine="0"/>
        <w:jc w:val="center"/>
        <w:rPr>
          <w:rFonts w:ascii="宋体" w:eastAsia="宋体" w:hAnsi="宋体" w:cs="仿宋"/>
          <w:b/>
          <w:bCs/>
          <w:sz w:val="44"/>
          <w:szCs w:val="44"/>
        </w:rPr>
      </w:pPr>
      <w:r>
        <w:rPr>
          <w:rFonts w:ascii="仿宋" w:eastAsia="仿宋" w:hAnsi="仿宋" w:cs="仿宋" w:hint="eastAsia"/>
          <w:b/>
          <w:bCs/>
          <w:sz w:val="44"/>
          <w:szCs w:val="44"/>
          <w:lang w:val="en-US"/>
        </w:rPr>
        <w:t>部门</w:t>
      </w:r>
      <w:r>
        <w:rPr>
          <w:rFonts w:ascii="仿宋" w:eastAsia="仿宋" w:hAnsi="仿宋" w:cs="仿宋"/>
          <w:b/>
          <w:sz w:val="44"/>
        </w:rPr>
        <w:t>预算表</w:t>
      </w:r>
    </w:p>
    <w:tbl>
      <w:tblPr>
        <w:tblW w:w="11329" w:type="dxa"/>
        <w:jc w:val="center"/>
        <w:tblLayout w:type="fixed"/>
        <w:tblLook w:val="04A0" w:firstRow="1" w:lastRow="0" w:firstColumn="1" w:lastColumn="0" w:noHBand="0" w:noVBand="1"/>
      </w:tblPr>
      <w:tblGrid>
        <w:gridCol w:w="3908"/>
        <w:gridCol w:w="1869"/>
        <w:gridCol w:w="3704"/>
        <w:gridCol w:w="67"/>
        <w:gridCol w:w="1781"/>
      </w:tblGrid>
      <w:tr w:rsidR="00BA3F0B">
        <w:trPr>
          <w:trHeight w:val="116"/>
          <w:jc w:val="center"/>
        </w:trPr>
        <w:tc>
          <w:tcPr>
            <w:tcW w:w="11329" w:type="dxa"/>
            <w:gridSpan w:val="5"/>
            <w:vAlign w:val="center"/>
          </w:tcPr>
          <w:p w:rsidR="00BA3F0B" w:rsidRDefault="00827830">
            <w:pPr>
              <w:pageBreakBefore/>
              <w:jc w:val="both"/>
              <w:rPr>
                <w:rFonts w:ascii="仿宋" w:eastAsia="仿宋" w:hAnsi="仿宋" w:cs="仿宋"/>
                <w:color w:val="000000"/>
                <w:lang w:eastAsia="ar-SA"/>
              </w:rPr>
            </w:pPr>
            <w:r>
              <w:rPr>
                <w:rFonts w:ascii="仿宋" w:eastAsia="仿宋" w:hAnsi="仿宋" w:cs="仿宋" w:hint="eastAsia"/>
                <w:color w:val="000000"/>
                <w:lang w:eastAsia="ar-SA"/>
              </w:rPr>
              <w:lastRenderedPageBreak/>
              <w:t>公开</w:t>
            </w:r>
            <w:r>
              <w:rPr>
                <w:rFonts w:ascii="仿宋" w:eastAsia="仿宋" w:hAnsi="仿宋" w:cs="仿宋" w:hint="eastAsia"/>
                <w:color w:val="000000"/>
                <w:lang w:eastAsia="ar-SA"/>
              </w:rPr>
              <w:t>01</w:t>
            </w:r>
            <w:r>
              <w:rPr>
                <w:rFonts w:ascii="仿宋" w:eastAsia="仿宋" w:hAnsi="仿宋" w:cs="仿宋" w:hint="eastAsia"/>
                <w:color w:val="000000"/>
                <w:lang w:eastAsia="ar-SA"/>
              </w:rPr>
              <w:t>表</w:t>
            </w:r>
          </w:p>
        </w:tc>
      </w:tr>
      <w:tr w:rsidR="00BA3F0B">
        <w:trPr>
          <w:trHeight w:val="348"/>
          <w:jc w:val="center"/>
        </w:trPr>
        <w:tc>
          <w:tcPr>
            <w:tcW w:w="11329" w:type="dxa"/>
            <w:gridSpan w:val="5"/>
          </w:tcPr>
          <w:p w:rsidR="00BA3F0B" w:rsidRDefault="00827830">
            <w:pPr>
              <w:jc w:val="center"/>
              <w:rPr>
                <w:rFonts w:ascii="仿宋" w:eastAsia="仿宋" w:hAnsi="仿宋" w:cs="仿宋"/>
                <w:color w:val="000000"/>
              </w:rPr>
            </w:pPr>
            <w:r>
              <w:rPr>
                <w:rFonts w:ascii="仿宋" w:eastAsia="仿宋" w:hAnsi="仿宋" w:cs="仿宋" w:hint="eastAsia"/>
                <w:b/>
                <w:bCs/>
                <w:color w:val="000000"/>
                <w:sz w:val="44"/>
                <w:szCs w:val="44"/>
                <w:lang w:eastAsia="ar-SA"/>
              </w:rPr>
              <w:t>收支总表</w:t>
            </w:r>
          </w:p>
        </w:tc>
      </w:tr>
      <w:tr w:rsidR="00BA3F0B">
        <w:trPr>
          <w:trHeight w:val="333"/>
          <w:jc w:val="center"/>
        </w:trPr>
        <w:tc>
          <w:tcPr>
            <w:tcW w:w="9481" w:type="dxa"/>
            <w:gridSpan w:val="3"/>
            <w:tcBorders>
              <w:bottom w:val="single" w:sz="4" w:space="0" w:color="000000"/>
            </w:tcBorders>
            <w:vAlign w:val="center"/>
          </w:tcPr>
          <w:p w:rsidR="00BA3F0B" w:rsidRDefault="00827830">
            <w:pPr>
              <w:rPr>
                <w:rFonts w:ascii="仿宋" w:eastAsia="仿宋" w:hAnsi="仿宋" w:cs="仿宋"/>
                <w:color w:val="00000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color w:val="000000"/>
                <w:lang w:eastAsia="ar-SA"/>
              </w:rPr>
              <w:t>无锡市自然资源和规划局</w:t>
            </w:r>
          </w:p>
        </w:tc>
        <w:tc>
          <w:tcPr>
            <w:tcW w:w="1848" w:type="dxa"/>
            <w:gridSpan w:val="2"/>
            <w:tcBorders>
              <w:bottom w:val="single" w:sz="4" w:space="0" w:color="000000"/>
            </w:tcBorders>
            <w:vAlign w:val="center"/>
          </w:tcPr>
          <w:p w:rsidR="00BA3F0B" w:rsidRDefault="00827830">
            <w:pPr>
              <w:jc w:val="right"/>
              <w:rPr>
                <w:rFonts w:ascii="仿宋" w:eastAsia="仿宋" w:hAnsi="仿宋" w:cs="仿宋"/>
                <w:color w:val="000000"/>
              </w:rPr>
            </w:pPr>
            <w:r>
              <w:rPr>
                <w:rFonts w:ascii="仿宋" w:eastAsia="仿宋" w:hAnsi="仿宋" w:cs="仿宋" w:hint="eastAsia"/>
                <w:color w:val="000000"/>
              </w:rPr>
              <w:t>单位</w:t>
            </w:r>
            <w:r>
              <w:rPr>
                <w:rFonts w:ascii="仿宋" w:eastAsia="仿宋" w:hAnsi="仿宋" w:cs="仿宋" w:hint="eastAsia"/>
                <w:color w:val="000000"/>
              </w:rPr>
              <w:t>：万元</w:t>
            </w:r>
          </w:p>
        </w:tc>
      </w:tr>
      <w:tr w:rsidR="00BA3F0B">
        <w:trPr>
          <w:trHeight w:val="204"/>
          <w:jc w:val="center"/>
        </w:trPr>
        <w:tc>
          <w:tcPr>
            <w:tcW w:w="5777"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color w:val="000000"/>
              </w:rPr>
            </w:pPr>
            <w:r>
              <w:rPr>
                <w:rFonts w:ascii="仿宋" w:eastAsia="仿宋" w:hAnsi="仿宋" w:cs="仿宋" w:hint="eastAsia"/>
                <w:b/>
                <w:bCs/>
                <w:color w:val="000000"/>
                <w:lang w:eastAsia="ar-SA"/>
              </w:rPr>
              <w:t>收入</w:t>
            </w:r>
          </w:p>
        </w:tc>
        <w:tc>
          <w:tcPr>
            <w:tcW w:w="5552" w:type="dxa"/>
            <w:gridSpan w:val="3"/>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color w:val="000000"/>
              </w:rPr>
            </w:pPr>
            <w:r>
              <w:rPr>
                <w:rFonts w:ascii="仿宋" w:eastAsia="仿宋" w:hAnsi="仿宋" w:cs="仿宋" w:hint="eastAsia"/>
                <w:b/>
                <w:bCs/>
                <w:color w:val="000000"/>
                <w:lang w:eastAsia="ar-SA"/>
              </w:rPr>
              <w:t>支出</w:t>
            </w:r>
          </w:p>
        </w:tc>
      </w:tr>
      <w:tr w:rsidR="00BA3F0B">
        <w:trPr>
          <w:trHeight w:val="31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color w:val="000000"/>
              </w:rPr>
            </w:pPr>
            <w:r>
              <w:rPr>
                <w:rFonts w:ascii="仿宋" w:eastAsia="仿宋" w:hAnsi="仿宋" w:cs="仿宋" w:hint="eastAsia"/>
                <w:b/>
                <w:bCs/>
                <w:color w:val="000000"/>
                <w:lang w:eastAsia="ar-SA"/>
              </w:rPr>
              <w:t>项目</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b/>
                <w:bCs/>
                <w:color w:val="000000"/>
              </w:rPr>
            </w:pPr>
            <w:r>
              <w:rPr>
                <w:rFonts w:ascii="仿宋" w:eastAsia="仿宋" w:hAnsi="仿宋" w:cs="仿宋" w:hint="eastAsia"/>
                <w:b/>
                <w:bCs/>
                <w:color w:val="000000"/>
                <w:lang w:eastAsia="ar-SA"/>
              </w:rPr>
              <w:t>项目</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b/>
                <w:bCs/>
                <w:color w:val="000000"/>
              </w:rPr>
            </w:pPr>
            <w:r>
              <w:rPr>
                <w:rFonts w:ascii="仿宋" w:eastAsia="仿宋" w:hAnsi="仿宋" w:cs="仿宋" w:hint="eastAsia"/>
                <w:b/>
                <w:bCs/>
                <w:color w:val="000000"/>
              </w:rPr>
              <w:t>预算</w:t>
            </w:r>
            <w:r>
              <w:rPr>
                <w:rFonts w:ascii="仿宋" w:eastAsia="仿宋" w:hAnsi="仿宋" w:cs="仿宋" w:hint="eastAsia"/>
                <w:b/>
                <w:bCs/>
                <w:color w:val="000000"/>
                <w:lang w:eastAsia="ar-SA"/>
              </w:rPr>
              <w:t>数</w:t>
            </w: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一、一般公共预算拨款收入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45,053.98</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一、一般公共服务支出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二、政府性基金预算拨款收入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二、外交支出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三、国有资本经营预算拨款收入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三、国防支出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四、财政专户管理资金收入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四、公共安全支出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五、事业收入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五、教育支出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六、事业单位经营收入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9,178.90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六、科学技术支出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七、上级补助收入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七、文化旅游体育与传媒支出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八、附属单位上缴收入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八、社会保障和就业支出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1,357.23</w:t>
            </w: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rPr>
                <w:rFonts w:ascii="仿宋" w:eastAsia="仿宋" w:hAnsi="仿宋" w:cs="仿宋"/>
              </w:rPr>
            </w:pPr>
            <w:r>
              <w:rPr>
                <w:rFonts w:ascii="仿宋" w:eastAsia="仿宋" w:hAnsi="仿宋" w:cs="仿宋" w:hint="eastAsia"/>
                <w:sz w:val="20"/>
                <w:lang w:eastAsia="ar-SA"/>
              </w:rPr>
              <w:t>九、其他收入</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100.00</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九、社会保险基金支出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十、卫生健康支出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401.21</w:t>
            </w: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十一、节能环保支出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十二、城乡社区支出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31,760.15</w:t>
            </w: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十三、农林水支出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313.11</w:t>
            </w: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十四、交通运输支出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十五、资源勘探工业信息等支出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十六、商业服务业等支出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十七、金融支出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十八、援助其他地区支出</w:t>
            </w:r>
            <w:r>
              <w:rPr>
                <w:rFonts w:ascii="仿宋" w:eastAsia="仿宋" w:hAnsi="仿宋" w:cs="仿宋" w:hint="eastAsia"/>
                <w:color w:val="000000"/>
                <w:lang w:eastAsia="ar-SA"/>
              </w:rPr>
              <w:t xml:space="preserve"> </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十九、自然资源海洋气象等支出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15,702.22</w:t>
            </w: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二十、住房保障支出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3,145.20</w:t>
            </w: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二十一、粮油物资储备支出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二十二、国有资本经营预算支出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二十三、灾害防治及应急管理支出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jc w:val="right"/>
              <w:rPr>
                <w:rFonts w:ascii="仿宋" w:eastAsia="仿宋" w:hAnsi="仿宋" w:cs="仿宋"/>
                <w:color w:val="000000"/>
                <w:lang w:eastAsia="ar-SA"/>
              </w:rPr>
            </w:pPr>
            <w:r>
              <w:rPr>
                <w:rFonts w:ascii="仿宋" w:eastAsia="仿宋" w:hAnsi="仿宋" w:cs="仿宋" w:hint="eastAsia"/>
                <w:color w:val="000000"/>
                <w:lang w:eastAsia="ar-SA"/>
              </w:rPr>
              <w:t>2,675.00</w:t>
            </w: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二十四、预备费</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二十五、其他支出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二十六、转移性支出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二十七、债务还本支出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二十八、债务付息支出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二十九、债务发行费用支出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val="287"/>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BA3F0B">
            <w:pPr>
              <w:rPr>
                <w:rFonts w:ascii="仿宋" w:eastAsia="仿宋" w:hAnsi="仿宋" w:cs="仿宋"/>
              </w:rPr>
            </w:pP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keepNext/>
              <w:keepLines/>
              <w:rPr>
                <w:rFonts w:ascii="仿宋" w:eastAsia="仿宋" w:hAnsi="仿宋" w:cs="仿宋"/>
                <w:color w:val="000000"/>
              </w:rPr>
            </w:pPr>
            <w:r>
              <w:rPr>
                <w:rFonts w:ascii="仿宋" w:eastAsia="仿宋" w:hAnsi="仿宋" w:cs="仿宋" w:hint="eastAsia"/>
                <w:color w:val="000000"/>
                <w:lang w:eastAsia="ar-SA"/>
              </w:rPr>
              <w:t>三十、抗疫特别国债安排的支出</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keepNext/>
              <w:keepLines/>
              <w:jc w:val="right"/>
              <w:rPr>
                <w:rFonts w:ascii="仿宋" w:eastAsia="仿宋" w:hAnsi="仿宋" w:cs="仿宋"/>
                <w:color w:val="000000"/>
                <w:lang w:eastAsia="ar-SA"/>
              </w:rPr>
            </w:pPr>
          </w:p>
        </w:tc>
      </w:tr>
      <w:tr w:rsidR="00BA3F0B">
        <w:trPr>
          <w:trHeight w:hRule="exact" w:val="29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color w:val="000000"/>
              </w:rPr>
            </w:pPr>
            <w:r>
              <w:rPr>
                <w:rFonts w:ascii="仿宋" w:eastAsia="仿宋" w:hAnsi="仿宋" w:cs="仿宋" w:hint="eastAsia"/>
                <w:b/>
                <w:bCs/>
                <w:color w:val="000000"/>
                <w:lang w:eastAsia="ar-SA"/>
              </w:rPr>
              <w:t>本年收入合计</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right"/>
              <w:rPr>
                <w:rFonts w:ascii="仿宋" w:eastAsia="仿宋" w:hAnsi="仿宋" w:cs="仿宋"/>
                <w:b/>
                <w:bCs/>
                <w:color w:val="000000"/>
                <w:lang w:val="en-US"/>
              </w:rPr>
            </w:pPr>
            <w:r>
              <w:rPr>
                <w:rFonts w:ascii="仿宋" w:eastAsia="仿宋" w:hAnsi="仿宋" w:cs="仿宋" w:hint="eastAsia"/>
                <w:b/>
                <w:bCs/>
                <w:color w:val="000000"/>
                <w:lang w:val="en-US"/>
              </w:rPr>
              <w:t>54,332.88</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b/>
                <w:bCs/>
                <w:color w:val="000000"/>
                <w:lang w:eastAsia="ar-SA"/>
              </w:rPr>
            </w:pPr>
            <w:r>
              <w:rPr>
                <w:rFonts w:ascii="仿宋" w:eastAsia="仿宋" w:hAnsi="仿宋" w:cs="仿宋" w:hint="eastAsia"/>
                <w:b/>
                <w:bCs/>
                <w:color w:val="000000"/>
                <w:lang w:eastAsia="ar-SA"/>
              </w:rPr>
              <w:t>本年支出合计</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right"/>
              <w:rPr>
                <w:rFonts w:ascii="仿宋" w:eastAsia="仿宋" w:hAnsi="仿宋" w:cs="仿宋"/>
                <w:b/>
                <w:bCs/>
                <w:color w:val="000000"/>
                <w:lang w:val="en-US"/>
              </w:rPr>
            </w:pPr>
            <w:r>
              <w:rPr>
                <w:rFonts w:ascii="仿宋" w:eastAsia="仿宋" w:hAnsi="仿宋" w:cs="仿宋" w:hint="eastAsia"/>
                <w:b/>
                <w:bCs/>
                <w:color w:val="000000"/>
                <w:lang w:val="en-US"/>
              </w:rPr>
              <w:t>55,354.12</w:t>
            </w:r>
          </w:p>
        </w:tc>
      </w:tr>
      <w:tr w:rsidR="00BA3F0B">
        <w:trPr>
          <w:trHeight w:val="192"/>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color w:val="000000"/>
                <w:lang w:val="en-US"/>
              </w:rPr>
            </w:pPr>
            <w:r>
              <w:rPr>
                <w:rFonts w:ascii="仿宋" w:eastAsia="仿宋" w:hAnsi="仿宋" w:cs="仿宋" w:hint="eastAsia"/>
                <w:b/>
                <w:bCs/>
                <w:color w:val="000000"/>
                <w:lang w:val="en-US"/>
              </w:rPr>
              <w:t>上年结转结余</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right"/>
              <w:rPr>
                <w:rFonts w:ascii="仿宋" w:eastAsia="仿宋" w:hAnsi="仿宋" w:cs="仿宋"/>
                <w:b/>
                <w:bCs/>
                <w:color w:val="000000"/>
                <w:lang w:eastAsia="ar-SA"/>
              </w:rPr>
            </w:pPr>
            <w:r>
              <w:rPr>
                <w:rFonts w:ascii="仿宋" w:eastAsia="仿宋" w:hAnsi="仿宋" w:cs="仿宋" w:hint="eastAsia"/>
                <w:b/>
                <w:bCs/>
                <w:color w:val="000000"/>
                <w:lang w:eastAsia="ar-SA"/>
              </w:rPr>
              <w:t>1,021.24</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b/>
                <w:bCs/>
                <w:color w:val="000000"/>
                <w:lang w:val="en-US"/>
              </w:rPr>
            </w:pPr>
            <w:r>
              <w:rPr>
                <w:rFonts w:ascii="仿宋" w:eastAsia="仿宋" w:hAnsi="仿宋" w:cs="仿宋" w:hint="eastAsia"/>
                <w:b/>
                <w:bCs/>
                <w:color w:val="000000"/>
                <w:lang w:val="en-US"/>
              </w:rPr>
              <w:t>年终结转结余</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BA3F0B">
            <w:pPr>
              <w:jc w:val="right"/>
              <w:rPr>
                <w:rFonts w:ascii="仿宋" w:eastAsia="仿宋" w:hAnsi="仿宋" w:cs="仿宋"/>
                <w:b/>
                <w:bCs/>
                <w:color w:val="000000"/>
                <w:lang w:val="en-US"/>
              </w:rPr>
            </w:pPr>
          </w:p>
        </w:tc>
      </w:tr>
      <w:tr w:rsidR="00BA3F0B">
        <w:trPr>
          <w:cantSplit/>
          <w:trHeight w:hRule="exact" w:val="289"/>
          <w:jc w:val="center"/>
        </w:trPr>
        <w:tc>
          <w:tcPr>
            <w:tcW w:w="3908"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color w:val="000000"/>
              </w:rPr>
            </w:pPr>
            <w:r>
              <w:rPr>
                <w:rFonts w:ascii="仿宋" w:eastAsia="仿宋" w:hAnsi="仿宋" w:cs="仿宋" w:hint="eastAsia"/>
                <w:b/>
                <w:color w:val="000000"/>
                <w:lang w:val="en-US"/>
              </w:rPr>
              <w:t>收入</w:t>
            </w:r>
            <w:r>
              <w:rPr>
                <w:rFonts w:ascii="仿宋" w:eastAsia="仿宋" w:hAnsi="仿宋" w:cs="仿宋" w:hint="eastAsia"/>
                <w:b/>
                <w:color w:val="000000"/>
                <w:lang w:eastAsia="ar-SA"/>
              </w:rPr>
              <w:t>总计</w:t>
            </w:r>
          </w:p>
        </w:tc>
        <w:tc>
          <w:tcPr>
            <w:tcW w:w="1869"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right"/>
              <w:rPr>
                <w:rFonts w:ascii="仿宋" w:eastAsia="仿宋" w:hAnsi="仿宋" w:cs="仿宋"/>
                <w:b/>
                <w:bCs/>
                <w:color w:val="000000"/>
                <w:lang w:val="en-US" w:eastAsia="ar-SA"/>
              </w:rPr>
            </w:pPr>
            <w:r>
              <w:rPr>
                <w:rFonts w:ascii="仿宋" w:eastAsia="仿宋" w:hAnsi="仿宋" w:cs="仿宋" w:hint="eastAsia"/>
                <w:b/>
                <w:bCs/>
                <w:color w:val="000000"/>
                <w:lang w:val="en-US"/>
              </w:rPr>
              <w:t>55,354.12</w:t>
            </w:r>
          </w:p>
        </w:tc>
        <w:tc>
          <w:tcPr>
            <w:tcW w:w="3771" w:type="dxa"/>
            <w:gridSpan w:val="2"/>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b/>
                <w:bCs/>
                <w:color w:val="000000"/>
                <w:lang w:eastAsia="ar-SA"/>
              </w:rPr>
            </w:pPr>
            <w:r>
              <w:rPr>
                <w:rFonts w:ascii="仿宋" w:eastAsia="仿宋" w:hAnsi="仿宋" w:cs="仿宋" w:hint="eastAsia"/>
                <w:b/>
                <w:bCs/>
                <w:color w:val="000000"/>
                <w:lang w:val="en-US"/>
              </w:rPr>
              <w:t>支出</w:t>
            </w:r>
            <w:r>
              <w:rPr>
                <w:rFonts w:ascii="仿宋" w:eastAsia="仿宋" w:hAnsi="仿宋" w:cs="仿宋" w:hint="eastAsia"/>
                <w:b/>
                <w:bCs/>
                <w:color w:val="000000"/>
                <w:lang w:eastAsia="ar-SA"/>
              </w:rPr>
              <w:t>总计</w:t>
            </w:r>
          </w:p>
        </w:tc>
        <w:tc>
          <w:tcPr>
            <w:tcW w:w="1781" w:type="dxa"/>
            <w:tcBorders>
              <w:top w:val="single" w:sz="4" w:space="0" w:color="000000"/>
              <w:left w:val="single" w:sz="4" w:space="0" w:color="000000"/>
              <w:bottom w:val="single" w:sz="4" w:space="0" w:color="000000"/>
              <w:right w:val="single" w:sz="4" w:space="0" w:color="000000"/>
            </w:tcBorders>
            <w:vAlign w:val="center"/>
          </w:tcPr>
          <w:p w:rsidR="00BA3F0B" w:rsidRDefault="00827830">
            <w:pPr>
              <w:jc w:val="right"/>
              <w:rPr>
                <w:rFonts w:ascii="仿宋" w:eastAsia="仿宋" w:hAnsi="仿宋" w:cs="仿宋"/>
                <w:b/>
                <w:bCs/>
                <w:color w:val="000000"/>
                <w:lang w:val="en-US"/>
              </w:rPr>
            </w:pPr>
            <w:r>
              <w:rPr>
                <w:rFonts w:ascii="仿宋" w:eastAsia="仿宋" w:hAnsi="仿宋" w:cs="仿宋" w:hint="eastAsia"/>
                <w:b/>
                <w:bCs/>
                <w:color w:val="000000"/>
                <w:lang w:val="en-US"/>
              </w:rPr>
              <w:t>55,354.12</w:t>
            </w:r>
          </w:p>
        </w:tc>
      </w:tr>
    </w:tbl>
    <w:p w:rsidR="00BA3F0B" w:rsidRDefault="00BA3F0B">
      <w:pPr>
        <w:spacing w:before="66"/>
        <w:rPr>
          <w:rFonts w:ascii="仿宋" w:eastAsia="仿宋" w:hAnsi="仿宋" w:cs="仿宋"/>
          <w:b/>
          <w:bCs/>
          <w:color w:val="000000"/>
        </w:rPr>
        <w:sectPr w:rsidR="00BA3F0B">
          <w:footerReference w:type="default" r:id="rId12"/>
          <w:pgSz w:w="11906" w:h="16838"/>
          <w:pgMar w:top="1580" w:right="700" w:bottom="770" w:left="697" w:header="170" w:footer="280" w:gutter="0"/>
          <w:pgNumType w:fmt="numberInDash"/>
          <w:cols w:space="720"/>
          <w:formProt w:val="0"/>
          <w:docGrid w:linePitch="100"/>
        </w:sectPr>
      </w:pPr>
    </w:p>
    <w:tbl>
      <w:tblPr>
        <w:tblW w:w="16703" w:type="dxa"/>
        <w:tblInd w:w="15"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rsidR="00BA3F0B">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BA3F0B" w:rsidRDefault="00827830">
            <w:pPr>
              <w:pStyle w:val="TableParagraph"/>
              <w:rPr>
                <w:rFonts w:ascii="仿宋" w:eastAsia="仿宋" w:hAnsi="仿宋" w:cs="仿宋"/>
                <w:lang w:val="en-US"/>
              </w:rPr>
            </w:pPr>
            <w:r>
              <w:rPr>
                <w:rFonts w:ascii="仿宋" w:eastAsia="仿宋" w:hAnsi="仿宋" w:cs="仿宋" w:hint="eastAsia"/>
              </w:rPr>
              <w:lastRenderedPageBreak/>
              <w:t>公开</w:t>
            </w:r>
            <w:r>
              <w:rPr>
                <w:rFonts w:ascii="仿宋" w:eastAsia="仿宋" w:hAnsi="仿宋" w:cs="仿宋" w:hint="eastAsia"/>
              </w:rPr>
              <w:t>02</w:t>
            </w:r>
            <w:r>
              <w:rPr>
                <w:rFonts w:ascii="仿宋" w:eastAsia="仿宋" w:hAnsi="仿宋" w:cs="仿宋" w:hint="eastAsia"/>
              </w:rPr>
              <w:t>表</w:t>
            </w:r>
          </w:p>
        </w:tc>
      </w:tr>
      <w:tr w:rsidR="00BA3F0B">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rsidR="00BA3F0B" w:rsidRDefault="00827830">
            <w:pPr>
              <w:pStyle w:val="TableParagraph"/>
              <w:jc w:val="center"/>
              <w:rPr>
                <w:rFonts w:ascii="仿宋" w:eastAsia="仿宋" w:hAnsi="仿宋" w:cs="仿宋"/>
                <w:lang w:val="en-US"/>
              </w:rPr>
            </w:pPr>
            <w:r>
              <w:rPr>
                <w:rFonts w:ascii="仿宋" w:eastAsia="仿宋" w:hAnsi="仿宋" w:cs="仿宋" w:hint="eastAsia"/>
                <w:b/>
                <w:bCs/>
                <w:sz w:val="44"/>
                <w:szCs w:val="44"/>
              </w:rPr>
              <w:t>收入</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BA3F0B">
        <w:tc>
          <w:tcPr>
            <w:tcW w:w="11988" w:type="dxa"/>
            <w:gridSpan w:val="13"/>
            <w:tcBorders>
              <w:top w:val="nil"/>
              <w:left w:val="nil"/>
              <w:bottom w:val="single" w:sz="4" w:space="0" w:color="auto"/>
              <w:right w:val="nil"/>
            </w:tcBorders>
            <w:shd w:val="clear" w:color="auto" w:fill="FFFFFF"/>
            <w:tcMar>
              <w:top w:w="0" w:type="dxa"/>
              <w:left w:w="0" w:type="dxa"/>
              <w:bottom w:w="0" w:type="dxa"/>
              <w:right w:w="0" w:type="dxa"/>
            </w:tcMar>
            <w:vAlign w:val="center"/>
          </w:tcPr>
          <w:p w:rsidR="00BA3F0B" w:rsidRDefault="00827830">
            <w:pPr>
              <w:pStyle w:val="TableParagraph"/>
              <w:jc w:val="bot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4715" w:type="dxa"/>
            <w:gridSpan w:val="6"/>
            <w:tcBorders>
              <w:top w:val="nil"/>
              <w:left w:val="nil"/>
              <w:bottom w:val="single" w:sz="4" w:space="0" w:color="auto"/>
              <w:right w:val="nil"/>
            </w:tcBorders>
            <w:shd w:val="clear" w:color="auto" w:fill="FFFFFF"/>
            <w:tcMar>
              <w:top w:w="0" w:type="dxa"/>
              <w:left w:w="0" w:type="dxa"/>
              <w:bottom w:w="0" w:type="dxa"/>
              <w:right w:w="0" w:type="dxa"/>
            </w:tcMar>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单位</w:t>
            </w:r>
            <w:r>
              <w:rPr>
                <w:rFonts w:ascii="仿宋" w:eastAsia="仿宋" w:hAnsi="仿宋" w:cs="仿宋" w:hint="eastAsia"/>
              </w:rPr>
              <w:t>：万元</w:t>
            </w:r>
          </w:p>
        </w:tc>
      </w:tr>
      <w:tr w:rsidR="00BA3F0B">
        <w:tc>
          <w:tcPr>
            <w:tcW w:w="824"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代码</w:t>
            </w:r>
          </w:p>
        </w:tc>
        <w:tc>
          <w:tcPr>
            <w:tcW w:w="180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21"/>
                <w:szCs w:val="21"/>
              </w:rPr>
            </w:pPr>
            <w:r>
              <w:rPr>
                <w:rFonts w:ascii="仿宋" w:eastAsia="仿宋" w:hAnsi="仿宋" w:cs="仿宋" w:hint="eastAsia"/>
                <w:color w:val="000000"/>
              </w:rPr>
              <w:t>部门</w:t>
            </w:r>
            <w:r>
              <w:rPr>
                <w:rFonts w:ascii="仿宋" w:eastAsia="仿宋" w:hAnsi="仿宋" w:cs="仿宋" w:hint="eastAsia"/>
                <w:sz w:val="21"/>
                <w:szCs w:val="21"/>
                <w:lang w:val="en-US"/>
              </w:rPr>
              <w:t>名称</w:t>
            </w:r>
          </w:p>
        </w:tc>
        <w:tc>
          <w:tcPr>
            <w:tcW w:w="976"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21"/>
                <w:szCs w:val="21"/>
              </w:rPr>
            </w:pPr>
            <w:r>
              <w:rPr>
                <w:rFonts w:ascii="仿宋" w:eastAsia="仿宋" w:hAnsi="仿宋" w:cs="仿宋" w:hint="eastAsia"/>
                <w:sz w:val="21"/>
                <w:szCs w:val="21"/>
                <w:lang w:val="en-US"/>
              </w:rPr>
              <w:t>合计</w:t>
            </w:r>
          </w:p>
        </w:tc>
        <w:tc>
          <w:tcPr>
            <w:tcW w:w="8387" w:type="dxa"/>
            <w:gridSpan w:val="10"/>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lang w:val="en-US"/>
              </w:rPr>
              <w:t>本年收入</w:t>
            </w:r>
          </w:p>
        </w:tc>
        <w:tc>
          <w:tcPr>
            <w:tcW w:w="4715" w:type="dxa"/>
            <w:gridSpan w:val="6"/>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lang w:val="en-US"/>
              </w:rPr>
              <w:t>上年结转结余</w:t>
            </w:r>
          </w:p>
        </w:tc>
      </w:tr>
      <w:tr w:rsidR="00BA3F0B">
        <w:trPr>
          <w:trHeight w:val="484"/>
        </w:trPr>
        <w:tc>
          <w:tcPr>
            <w:tcW w:w="824"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pacing w:after="34" w:line="34" w:lineRule="atLeast"/>
              <w:jc w:val="center"/>
              <w:rPr>
                <w:rFonts w:ascii="仿宋" w:eastAsia="仿宋" w:hAnsi="仿宋" w:cs="仿宋"/>
              </w:rPr>
            </w:pPr>
          </w:p>
        </w:tc>
        <w:tc>
          <w:tcPr>
            <w:tcW w:w="180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pacing w:after="34" w:line="34" w:lineRule="atLeast"/>
              <w:jc w:val="center"/>
              <w:rPr>
                <w:rFonts w:ascii="仿宋" w:eastAsia="仿宋" w:hAnsi="仿宋" w:cs="仿宋"/>
              </w:rPr>
            </w:pPr>
          </w:p>
        </w:tc>
        <w:tc>
          <w:tcPr>
            <w:tcW w:w="976"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pacing w:after="34" w:line="34" w:lineRule="atLeast"/>
              <w:jc w:val="center"/>
              <w:rPr>
                <w:rFonts w:ascii="仿宋" w:eastAsia="仿宋" w:hAnsi="仿宋" w:cs="仿宋"/>
              </w:rPr>
            </w:pP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事业</w:t>
            </w:r>
          </w:p>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事业单位经营收入</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上级补助收入</w:t>
            </w: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附属单位上缴收入</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其他</w:t>
            </w:r>
          </w:p>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收入</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小计</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一般公共预算</w:t>
            </w: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政府性基金预算</w:t>
            </w: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国有资本经营预算</w:t>
            </w: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财政专户管理资金</w:t>
            </w: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pacing w:after="34" w:line="34" w:lineRule="atLeast"/>
              <w:jc w:val="center"/>
              <w:rPr>
                <w:rFonts w:ascii="仿宋" w:eastAsia="仿宋" w:hAnsi="仿宋" w:cs="仿宋"/>
                <w:sz w:val="18"/>
                <w:szCs w:val="18"/>
                <w:lang w:val="en-US"/>
              </w:rPr>
            </w:pPr>
            <w:r>
              <w:rPr>
                <w:rFonts w:ascii="仿宋" w:eastAsia="仿宋" w:hAnsi="仿宋" w:cs="仿宋" w:hint="eastAsia"/>
                <w:sz w:val="18"/>
                <w:szCs w:val="18"/>
                <w:lang w:val="en-US"/>
              </w:rPr>
              <w:t>单位</w:t>
            </w:r>
          </w:p>
          <w:p w:rsidR="00BA3F0B" w:rsidRDefault="00827830">
            <w:pPr>
              <w:pStyle w:val="TableParagraph"/>
              <w:spacing w:after="34" w:line="34" w:lineRule="atLeast"/>
              <w:jc w:val="center"/>
              <w:rPr>
                <w:rFonts w:ascii="仿宋" w:eastAsia="仿宋" w:hAnsi="仿宋" w:cs="仿宋"/>
                <w:sz w:val="18"/>
                <w:szCs w:val="18"/>
              </w:rPr>
            </w:pPr>
            <w:r>
              <w:rPr>
                <w:rFonts w:ascii="仿宋" w:eastAsia="仿宋" w:hAnsi="仿宋" w:cs="仿宋" w:hint="eastAsia"/>
                <w:sz w:val="18"/>
                <w:szCs w:val="18"/>
                <w:lang w:val="en-US"/>
              </w:rPr>
              <w:t>资金</w:t>
            </w:r>
          </w:p>
        </w:tc>
      </w:tr>
      <w:tr w:rsidR="00BA3F0B">
        <w:trPr>
          <w:trHeight w:val="304"/>
        </w:trPr>
        <w:tc>
          <w:tcPr>
            <w:tcW w:w="2625" w:type="dxa"/>
            <w:gridSpan w:val="2"/>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center"/>
              <w:rPr>
                <w:rFonts w:ascii="仿宋" w:eastAsia="仿宋" w:hAnsi="仿宋" w:cs="仿宋"/>
                <w:color w:val="000000"/>
                <w:sz w:val="15"/>
                <w:szCs w:val="15"/>
                <w:lang w:eastAsia="ar-SA"/>
              </w:rPr>
            </w:pPr>
            <w:r>
              <w:rPr>
                <w:rFonts w:ascii="仿宋" w:eastAsia="仿宋" w:hAnsi="仿宋" w:cs="仿宋" w:hint="eastAsia"/>
                <w:color w:val="000000"/>
                <w:sz w:val="15"/>
                <w:szCs w:val="15"/>
                <w:lang w:val="en-US"/>
              </w:rPr>
              <w:t>合计</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55,354.12</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54,332.88</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45,053.98</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9,178.90</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100.00</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1,021.24</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val="en-US"/>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val="en-US"/>
              </w:rPr>
            </w:pPr>
            <w:r>
              <w:rPr>
                <w:rFonts w:ascii="仿宋" w:eastAsia="仿宋" w:hAnsi="仿宋" w:cs="仿宋" w:hint="eastAsia"/>
                <w:color w:val="000000"/>
                <w:sz w:val="15"/>
                <w:szCs w:val="15"/>
                <w:lang w:val="en-US"/>
              </w:rPr>
              <w:t>1,021.24</w:t>
            </w:r>
          </w:p>
        </w:tc>
      </w:tr>
      <w:tr w:rsidR="00BA3F0B">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362</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无锡市自然资源和规划局</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55,354.12</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54,332.88</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45,053.98</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9,178.90</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100.00</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1,021.24</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1,021.24</w:t>
            </w:r>
          </w:p>
        </w:tc>
      </w:tr>
      <w:tr w:rsidR="00BA3F0B">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362001</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无锡市自然资源和规划局（本级）</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6,528.13</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6,528.13</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6,528.13</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r>
      <w:tr w:rsidR="00BA3F0B">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362003</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无锡市土地储备中心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1,363.90</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1,363.90</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1,363.90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r>
      <w:tr w:rsidR="00BA3F0B">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362004</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无锡市不动产登记中心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2,923.77</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2,923.77</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2,823.77</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100.00</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r>
      <w:tr w:rsidR="00BA3F0B">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362005</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无锡市林业总站</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32,023.52</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32,023.52</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32,023.52</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r>
      <w:tr w:rsidR="00BA3F0B">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362006</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无锡市自然资源交易和服务中心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1,924.26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1,924.26</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1,924.26</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r>
      <w:tr w:rsidR="00BA3F0B">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362008</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无锡市规划设计研究院</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5,819.86</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5,477.02</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5,477.02</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342.84</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342.84</w:t>
            </w:r>
          </w:p>
        </w:tc>
      </w:tr>
      <w:tr w:rsidR="00BA3F0B">
        <w:trPr>
          <w:trHeight w:val="327"/>
        </w:trPr>
        <w:tc>
          <w:tcPr>
            <w:tcW w:w="82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 xml:space="preserve">  362009</w:t>
            </w:r>
          </w:p>
        </w:tc>
        <w:tc>
          <w:tcPr>
            <w:tcW w:w="180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无锡市国土空间规划编制研究中心</w:t>
            </w:r>
          </w:p>
        </w:tc>
        <w:tc>
          <w:tcPr>
            <w:tcW w:w="97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4,770.68</w:t>
            </w:r>
          </w:p>
        </w:tc>
        <w:tc>
          <w:tcPr>
            <w:tcW w:w="99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4,092.28</w:t>
            </w:r>
          </w:p>
        </w:tc>
        <w:tc>
          <w:tcPr>
            <w:tcW w:w="99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390.40</w:t>
            </w:r>
          </w:p>
        </w:tc>
        <w:tc>
          <w:tcPr>
            <w:tcW w:w="74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7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98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1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3,701.88</w:t>
            </w:r>
          </w:p>
        </w:tc>
        <w:tc>
          <w:tcPr>
            <w:tcW w:w="67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686"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678.40</w:t>
            </w:r>
          </w:p>
        </w:tc>
        <w:tc>
          <w:tcPr>
            <w:tcW w:w="82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34"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55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2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pacing w:line="34" w:lineRule="atLeast"/>
              <w:ind w:right="45"/>
              <w:jc w:val="right"/>
              <w:rPr>
                <w:rFonts w:ascii="仿宋" w:eastAsia="仿宋" w:hAnsi="仿宋" w:cs="仿宋"/>
                <w:color w:val="000000"/>
                <w:sz w:val="15"/>
                <w:szCs w:val="15"/>
                <w:lang w:eastAsia="ar-SA"/>
              </w:rPr>
            </w:pPr>
          </w:p>
        </w:tc>
        <w:tc>
          <w:tcPr>
            <w:tcW w:w="86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pacing w:line="34" w:lineRule="atLeast"/>
              <w:ind w:right="45"/>
              <w:jc w:val="right"/>
              <w:rPr>
                <w:rFonts w:ascii="仿宋" w:eastAsia="仿宋" w:hAnsi="仿宋" w:cs="仿宋"/>
                <w:color w:val="000000"/>
                <w:sz w:val="15"/>
                <w:szCs w:val="15"/>
                <w:lang w:eastAsia="ar-SA"/>
              </w:rPr>
            </w:pPr>
            <w:r>
              <w:rPr>
                <w:rFonts w:ascii="仿宋" w:eastAsia="仿宋" w:hAnsi="仿宋" w:cs="仿宋" w:hint="eastAsia"/>
                <w:color w:val="000000"/>
                <w:sz w:val="15"/>
                <w:szCs w:val="15"/>
                <w:lang w:eastAsia="ar-SA"/>
              </w:rPr>
              <w:t>678.40</w:t>
            </w:r>
          </w:p>
        </w:tc>
      </w:tr>
    </w:tbl>
    <w:p w:rsidR="00BA3F0B" w:rsidRDefault="00BA3F0B">
      <w:pPr>
        <w:spacing w:before="66"/>
        <w:rPr>
          <w:rFonts w:ascii="仿宋" w:eastAsia="仿宋" w:hAnsi="仿宋" w:cs="仿宋"/>
          <w:b/>
          <w:bCs/>
        </w:rPr>
        <w:sectPr w:rsidR="00BA3F0B">
          <w:footerReference w:type="default" r:id="rId13"/>
          <w:pgSz w:w="16838" w:h="11906" w:orient="landscape"/>
          <w:pgMar w:top="720" w:right="57" w:bottom="720" w:left="57" w:header="170" w:footer="280" w:gutter="0"/>
          <w:pgNumType w:fmt="numberInDash"/>
          <w:cols w:space="720"/>
          <w:formProt w:val="0"/>
          <w:docGrid w:linePitch="100"/>
        </w:sectPr>
      </w:pPr>
    </w:p>
    <w:tbl>
      <w:tblPr>
        <w:tblW w:w="15347" w:type="dxa"/>
        <w:tblInd w:w="96" w:type="dxa"/>
        <w:tblLayout w:type="fixed"/>
        <w:tblCellMar>
          <w:top w:w="55" w:type="dxa"/>
          <w:left w:w="55" w:type="dxa"/>
          <w:bottom w:w="55" w:type="dxa"/>
          <w:right w:w="55" w:type="dxa"/>
        </w:tblCellMar>
        <w:tblLook w:val="04A0" w:firstRow="1" w:lastRow="0" w:firstColumn="1" w:lastColumn="0" w:noHBand="0" w:noVBand="1"/>
      </w:tblPr>
      <w:tblGrid>
        <w:gridCol w:w="1556"/>
        <w:gridCol w:w="3223"/>
        <w:gridCol w:w="1920"/>
        <w:gridCol w:w="1714"/>
        <w:gridCol w:w="1749"/>
        <w:gridCol w:w="1868"/>
        <w:gridCol w:w="1680"/>
        <w:gridCol w:w="1637"/>
      </w:tblGrid>
      <w:tr w:rsidR="00BA3F0B">
        <w:trPr>
          <w:trHeight w:val="341"/>
        </w:trPr>
        <w:tc>
          <w:tcPr>
            <w:tcW w:w="15347" w:type="dxa"/>
            <w:gridSpan w:val="8"/>
            <w:vAlign w:val="center"/>
          </w:tcPr>
          <w:p w:rsidR="00BA3F0B" w:rsidRDefault="00827830">
            <w:pPr>
              <w:pStyle w:val="4"/>
              <w:spacing w:after="34" w:line="34" w:lineRule="atLeast"/>
              <w:jc w:val="left"/>
              <w:rPr>
                <w:rFonts w:ascii="仿宋" w:eastAsia="仿宋" w:hAnsi="仿宋" w:cs="仿宋"/>
                <w:b/>
                <w:bCs/>
                <w:sz w:val="44"/>
                <w:szCs w:val="44"/>
              </w:rPr>
            </w:pPr>
            <w:r>
              <w:rPr>
                <w:rFonts w:ascii="仿宋" w:eastAsia="仿宋" w:hAnsi="仿宋" w:cs="仿宋" w:hint="eastAsia"/>
                <w:sz w:val="22"/>
                <w:szCs w:val="22"/>
              </w:rPr>
              <w:lastRenderedPageBreak/>
              <w:t>公开</w:t>
            </w:r>
            <w:r>
              <w:rPr>
                <w:rFonts w:ascii="仿宋" w:eastAsia="仿宋" w:hAnsi="仿宋" w:cs="仿宋" w:hint="eastAsia"/>
                <w:sz w:val="22"/>
                <w:szCs w:val="22"/>
              </w:rPr>
              <w:t>03</w:t>
            </w:r>
            <w:r>
              <w:rPr>
                <w:rFonts w:ascii="仿宋" w:eastAsia="仿宋" w:hAnsi="仿宋" w:cs="仿宋" w:hint="eastAsia"/>
                <w:sz w:val="22"/>
                <w:szCs w:val="22"/>
              </w:rPr>
              <w:t>表</w:t>
            </w:r>
          </w:p>
        </w:tc>
      </w:tr>
      <w:tr w:rsidR="00BA3F0B">
        <w:trPr>
          <w:trHeight w:val="321"/>
        </w:trPr>
        <w:tc>
          <w:tcPr>
            <w:tcW w:w="15347" w:type="dxa"/>
            <w:gridSpan w:val="8"/>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b/>
                <w:bCs/>
                <w:sz w:val="44"/>
                <w:szCs w:val="44"/>
              </w:rPr>
              <w:t>支出</w:t>
            </w:r>
            <w:r>
              <w:rPr>
                <w:rFonts w:ascii="仿宋" w:eastAsia="仿宋" w:hAnsi="仿宋" w:cs="仿宋" w:hint="eastAsia"/>
                <w:b/>
                <w:bCs/>
                <w:sz w:val="44"/>
                <w:szCs w:val="44"/>
                <w:lang w:val="en-US"/>
              </w:rPr>
              <w:t>总</w:t>
            </w:r>
            <w:r>
              <w:rPr>
                <w:rFonts w:ascii="仿宋" w:eastAsia="仿宋" w:hAnsi="仿宋" w:cs="仿宋" w:hint="eastAsia"/>
                <w:b/>
                <w:bCs/>
                <w:sz w:val="44"/>
                <w:szCs w:val="44"/>
              </w:rPr>
              <w:t>表</w:t>
            </w:r>
          </w:p>
        </w:tc>
      </w:tr>
      <w:tr w:rsidR="00BA3F0B">
        <w:trPr>
          <w:trHeight w:val="218"/>
        </w:trPr>
        <w:tc>
          <w:tcPr>
            <w:tcW w:w="12030" w:type="dxa"/>
            <w:gridSpan w:val="6"/>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3317" w:type="dxa"/>
            <w:gridSpan w:val="2"/>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BA3F0B">
        <w:trPr>
          <w:trHeight w:val="533"/>
        </w:trPr>
        <w:tc>
          <w:tcPr>
            <w:tcW w:w="1556" w:type="dxa"/>
            <w:tcBorders>
              <w:top w:val="single" w:sz="4" w:space="0" w:color="000000"/>
              <w:left w:val="single" w:sz="4" w:space="0" w:color="000000"/>
              <w:bottom w:val="single" w:sz="4"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3223" w:type="dxa"/>
            <w:tcBorders>
              <w:top w:val="single" w:sz="4" w:space="0" w:color="000000"/>
              <w:left w:val="single" w:sz="4" w:space="0" w:color="000000"/>
              <w:bottom w:val="single" w:sz="4"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1920" w:type="dxa"/>
            <w:tcBorders>
              <w:top w:val="single" w:sz="4" w:space="0" w:color="000000"/>
              <w:left w:val="single" w:sz="4" w:space="0" w:color="000000"/>
              <w:bottom w:val="single" w:sz="4"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1714" w:type="dxa"/>
            <w:tcBorders>
              <w:top w:val="single" w:sz="4" w:space="0" w:color="000000"/>
              <w:left w:val="single" w:sz="4" w:space="0" w:color="000000"/>
              <w:bottom w:val="single" w:sz="4"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749" w:type="dxa"/>
            <w:tcBorders>
              <w:top w:val="single" w:sz="4" w:space="0" w:color="000000"/>
              <w:left w:val="single" w:sz="4" w:space="0" w:color="000000"/>
              <w:bottom w:val="single" w:sz="4"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c>
          <w:tcPr>
            <w:tcW w:w="1868" w:type="dxa"/>
            <w:tcBorders>
              <w:top w:val="single" w:sz="4" w:space="0" w:color="000000"/>
              <w:left w:val="single" w:sz="4" w:space="0" w:color="000000"/>
              <w:bottom w:val="single" w:sz="4" w:space="0" w:color="000000"/>
            </w:tcBorders>
            <w:vAlign w:val="center"/>
          </w:tcPr>
          <w:p w:rsidR="00BA3F0B" w:rsidRDefault="00827830">
            <w:pPr>
              <w:pStyle w:val="TableParagraph"/>
              <w:spacing w:after="34" w:line="34" w:lineRule="atLeast"/>
              <w:jc w:val="center"/>
              <w:rPr>
                <w:rFonts w:ascii="仿宋" w:eastAsia="仿宋" w:hAnsi="仿宋" w:cs="仿宋"/>
                <w:lang w:val="en-US"/>
              </w:rPr>
            </w:pPr>
            <w:r>
              <w:rPr>
                <w:rFonts w:ascii="仿宋" w:eastAsia="仿宋" w:hAnsi="仿宋" w:cs="仿宋" w:hint="eastAsia"/>
                <w:lang w:val="en-US"/>
              </w:rPr>
              <w:t>事业单位</w:t>
            </w:r>
          </w:p>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lang w:val="en-US"/>
              </w:rPr>
              <w:t>经营支出</w:t>
            </w:r>
          </w:p>
        </w:tc>
        <w:tc>
          <w:tcPr>
            <w:tcW w:w="1680" w:type="dxa"/>
            <w:tcBorders>
              <w:top w:val="single" w:sz="4" w:space="0" w:color="000000"/>
              <w:left w:val="single" w:sz="4" w:space="0" w:color="000000"/>
              <w:bottom w:val="single" w:sz="4"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上缴上级支出</w:t>
            </w:r>
          </w:p>
        </w:tc>
        <w:tc>
          <w:tcPr>
            <w:tcW w:w="163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对附属单位补助支出</w:t>
            </w:r>
          </w:p>
        </w:tc>
      </w:tr>
      <w:tr w:rsidR="00BA3F0B">
        <w:trPr>
          <w:trHeight w:hRule="exact" w:val="375"/>
        </w:trPr>
        <w:tc>
          <w:tcPr>
            <w:tcW w:w="4779" w:type="dxa"/>
            <w:gridSpan w:val="2"/>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rPr>
              <w:t>合计</w:t>
            </w:r>
          </w:p>
        </w:tc>
        <w:tc>
          <w:tcPr>
            <w:tcW w:w="1920" w:type="dxa"/>
            <w:tcBorders>
              <w:left w:val="single" w:sz="4" w:space="0" w:color="000000"/>
              <w:bottom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55,354.12</w:t>
            </w:r>
          </w:p>
        </w:tc>
        <w:tc>
          <w:tcPr>
            <w:tcW w:w="1714" w:type="dxa"/>
            <w:tcBorders>
              <w:left w:val="single" w:sz="4" w:space="0" w:color="000000"/>
              <w:bottom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16,730.27</w:t>
            </w:r>
          </w:p>
        </w:tc>
        <w:tc>
          <w:tcPr>
            <w:tcW w:w="1749" w:type="dxa"/>
            <w:tcBorders>
              <w:left w:val="single" w:sz="4" w:space="0" w:color="000000"/>
              <w:bottom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38,623.85</w:t>
            </w:r>
          </w:p>
        </w:tc>
        <w:tc>
          <w:tcPr>
            <w:tcW w:w="1868" w:type="dxa"/>
            <w:tcBorders>
              <w:left w:val="single" w:sz="4" w:space="0" w:color="000000"/>
              <w:bottom w:val="single" w:sz="4" w:space="0" w:color="000000"/>
            </w:tcBorders>
            <w:vAlign w:val="center"/>
          </w:tcPr>
          <w:p w:rsidR="00BA3F0B" w:rsidRDefault="00BA3F0B">
            <w:pPr>
              <w:pStyle w:val="TableParagraph"/>
              <w:jc w:val="right"/>
              <w:rPr>
                <w:rFonts w:ascii="仿宋" w:eastAsia="仿宋" w:hAnsi="仿宋" w:cs="仿宋"/>
              </w:rPr>
            </w:pPr>
          </w:p>
        </w:tc>
        <w:tc>
          <w:tcPr>
            <w:tcW w:w="1680" w:type="dxa"/>
            <w:tcBorders>
              <w:left w:val="single" w:sz="4" w:space="0" w:color="000000"/>
              <w:bottom w:val="single" w:sz="4" w:space="0" w:color="000000"/>
            </w:tcBorders>
            <w:vAlign w:val="center"/>
          </w:tcPr>
          <w:p w:rsidR="00BA3F0B" w:rsidRDefault="00BA3F0B">
            <w:pPr>
              <w:pStyle w:val="TableParagraph"/>
              <w:jc w:val="right"/>
              <w:rPr>
                <w:rFonts w:ascii="仿宋" w:eastAsia="仿宋" w:hAnsi="仿宋" w:cs="仿宋"/>
              </w:rPr>
            </w:pPr>
          </w:p>
        </w:tc>
        <w:tc>
          <w:tcPr>
            <w:tcW w:w="1637" w:type="dxa"/>
            <w:tcBorders>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208</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社会保障和就业支出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1,357.23</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1,357.23</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20805</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行政事业单位养老支出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1,357.23</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1,357.23</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2080505</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机关事业单位基本养老保险缴费支出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904.82</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904.82</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2080506</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机关事业单位职业年金缴费支出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452.41</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452.41</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210</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卫生健康支出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401.21</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401.21</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21011</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行政事业单位医疗</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401.21</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401.21</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2101101</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行政单位医疗</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149.38</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149.38</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2101102</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事业单位医疗</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251.83</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251.83</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212</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城乡社区支出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31,760.15</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31,760.15</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21201</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城乡社区管理事务</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28,825.00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28,825.00</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2120199</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其他城乡社区管理事务支出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28,825.00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28,825.00</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21202</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城乡社区规划与管理</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2,835.15</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2,835.15</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2120201</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城乡社区规划与管理</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2,835.15</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2,835.15</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21299</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其他城乡社区支出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100.00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100.00</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2129999</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其他城乡社区支出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100.00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100.00</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213</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农林水支出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313.11</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257.39</w:t>
            </w: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55.72</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21302</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林业和草原</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313.11</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257.39</w:t>
            </w: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55.72</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2130204</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事业机构</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257.39</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257.39</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lastRenderedPageBreak/>
              <w:t xml:space="preserve">    2130299</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其他林业和草原支出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55.72</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55.72</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220</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自然资源海洋气象等支出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15,702.22</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11,569.24</w:t>
            </w: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4,132.98</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22001</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自然资源事务</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15,702.22</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11,569.24</w:t>
            </w: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4,132.98</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2200101</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行政运行</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2,901.68</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2,843.18</w:t>
            </w: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58.50</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2200108</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自然资源行业业务管理</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3,178.66</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3,178.66</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2200199</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其他自然资源事务支出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9,621.88</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8,726.06</w:t>
            </w: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895.82</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221</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住房保障支出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3,145.20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3,145.20</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22102</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住房改革支出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3,145.20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3,145.20</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2210201</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住房公积金</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1,048.41</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1,048.41</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2210202</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提租补贴</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712.77</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712.77</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2210203</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购房补贴</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1,384.02</w:t>
            </w:r>
          </w:p>
        </w:tc>
        <w:tc>
          <w:tcPr>
            <w:tcW w:w="1714"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1,384.02</w:t>
            </w:r>
          </w:p>
        </w:tc>
        <w:tc>
          <w:tcPr>
            <w:tcW w:w="1749"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224</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灾害防治及应急管理支出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22499</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其他灾害防治及应急管理支出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r w:rsidR="00BA3F0B">
        <w:trPr>
          <w:cantSplit/>
          <w:trHeight w:val="168"/>
        </w:trPr>
        <w:tc>
          <w:tcPr>
            <w:tcW w:w="1556"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2249999</w:t>
            </w:r>
          </w:p>
        </w:tc>
        <w:tc>
          <w:tcPr>
            <w:tcW w:w="3223"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其他灾害防治及应急管理支出</w:t>
            </w:r>
          </w:p>
        </w:tc>
        <w:tc>
          <w:tcPr>
            <w:tcW w:w="1920"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714"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749" w:type="dxa"/>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868"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80"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c>
          <w:tcPr>
            <w:tcW w:w="1637" w:type="dxa"/>
            <w:tcBorders>
              <w:top w:val="single" w:sz="4" w:space="0" w:color="000000"/>
              <w:left w:val="single" w:sz="4" w:space="0" w:color="000000"/>
              <w:bottom w:val="single" w:sz="4" w:space="0" w:color="000000"/>
              <w:right w:val="single" w:sz="4" w:space="0" w:color="000000"/>
            </w:tcBorders>
          </w:tcPr>
          <w:p w:rsidR="00BA3F0B" w:rsidRDefault="00BA3F0B">
            <w:pPr>
              <w:pStyle w:val="TableParagraph"/>
              <w:jc w:val="right"/>
              <w:rPr>
                <w:rFonts w:ascii="仿宋" w:eastAsia="仿宋" w:hAnsi="仿宋" w:cs="仿宋"/>
              </w:rPr>
            </w:pPr>
          </w:p>
        </w:tc>
      </w:tr>
    </w:tbl>
    <w:p w:rsidR="00BA3F0B" w:rsidRDefault="00BA3F0B">
      <w:pPr>
        <w:spacing w:before="59"/>
        <w:ind w:left="57"/>
        <w:rPr>
          <w:rFonts w:ascii="仿宋" w:eastAsia="仿宋" w:hAnsi="仿宋" w:cs="仿宋"/>
          <w:b/>
          <w:bCs/>
        </w:rPr>
        <w:sectPr w:rsidR="00BA3F0B">
          <w:footerReference w:type="default" r:id="rId14"/>
          <w:pgSz w:w="16838" w:h="11906" w:orient="landscape"/>
          <w:pgMar w:top="720" w:right="720" w:bottom="720" w:left="720" w:header="170" w:footer="280" w:gutter="0"/>
          <w:pgNumType w:fmt="numberInDash"/>
          <w:cols w:space="720"/>
          <w:formProt w:val="0"/>
          <w:docGrid w:linePitch="100"/>
        </w:sectPr>
      </w:pPr>
    </w:p>
    <w:tbl>
      <w:tblPr>
        <w:tblW w:w="15789" w:type="dxa"/>
        <w:tblInd w:w="-123" w:type="dxa"/>
        <w:tblLayout w:type="fixed"/>
        <w:tblCellMar>
          <w:top w:w="55" w:type="dxa"/>
          <w:left w:w="55" w:type="dxa"/>
          <w:bottom w:w="55" w:type="dxa"/>
          <w:right w:w="55" w:type="dxa"/>
        </w:tblCellMar>
        <w:tblLook w:val="04A0" w:firstRow="1" w:lastRow="0" w:firstColumn="1" w:lastColumn="0" w:noHBand="0" w:noVBand="1"/>
      </w:tblPr>
      <w:tblGrid>
        <w:gridCol w:w="3987"/>
        <w:gridCol w:w="3960"/>
        <w:gridCol w:w="3943"/>
        <w:gridCol w:w="3899"/>
      </w:tblGrid>
      <w:tr w:rsidR="00BA3F0B">
        <w:trPr>
          <w:trHeight w:val="319"/>
        </w:trPr>
        <w:tc>
          <w:tcPr>
            <w:tcW w:w="15789" w:type="dxa"/>
            <w:gridSpan w:val="4"/>
          </w:tcPr>
          <w:p w:rsidR="00BA3F0B" w:rsidRDefault="00827830">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04</w:t>
            </w:r>
            <w:r>
              <w:rPr>
                <w:rFonts w:ascii="仿宋" w:eastAsia="仿宋" w:hAnsi="仿宋" w:cs="仿宋" w:hint="eastAsia"/>
              </w:rPr>
              <w:t>表</w:t>
            </w:r>
          </w:p>
        </w:tc>
      </w:tr>
      <w:tr w:rsidR="00BA3F0B">
        <w:trPr>
          <w:trHeight w:val="319"/>
        </w:trPr>
        <w:tc>
          <w:tcPr>
            <w:tcW w:w="15789" w:type="dxa"/>
            <w:gridSpan w:val="4"/>
          </w:tcPr>
          <w:p w:rsidR="00BA3F0B" w:rsidRDefault="00827830">
            <w:pPr>
              <w:pStyle w:val="TableParagraph"/>
              <w:jc w:val="center"/>
              <w:rPr>
                <w:rFonts w:ascii="仿宋" w:eastAsia="仿宋" w:hAnsi="仿宋" w:cs="仿宋"/>
              </w:rPr>
            </w:pPr>
            <w:r>
              <w:rPr>
                <w:rFonts w:ascii="仿宋" w:eastAsia="仿宋" w:hAnsi="仿宋" w:cs="仿宋" w:hint="eastAsia"/>
                <w:b/>
                <w:bCs/>
                <w:sz w:val="44"/>
                <w:szCs w:val="44"/>
              </w:rPr>
              <w:t>财政拨款收支总表</w:t>
            </w:r>
          </w:p>
        </w:tc>
      </w:tr>
      <w:tr w:rsidR="00BA3F0B">
        <w:trPr>
          <w:trHeight w:val="319"/>
        </w:trPr>
        <w:tc>
          <w:tcPr>
            <w:tcW w:w="11890" w:type="dxa"/>
            <w:gridSpan w:val="3"/>
          </w:tcPr>
          <w:p w:rsidR="00BA3F0B" w:rsidRDefault="0082783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3899" w:type="dxa"/>
            <w:vAlign w:val="center"/>
          </w:tcPr>
          <w:p w:rsidR="00BA3F0B" w:rsidRDefault="00827830">
            <w:pPr>
              <w:pStyle w:val="TableParagraph"/>
              <w:jc w:val="right"/>
              <w:rPr>
                <w:rFonts w:ascii="仿宋" w:eastAsia="仿宋" w:hAnsi="仿宋" w:cs="仿宋"/>
              </w:rPr>
            </w:pPr>
            <w:r>
              <w:rPr>
                <w:rFonts w:ascii="仿宋" w:eastAsia="仿宋" w:hAnsi="仿宋" w:cs="仿宋" w:hint="eastAsia"/>
              </w:rPr>
              <w:t>单位</w:t>
            </w:r>
            <w:r>
              <w:rPr>
                <w:rFonts w:ascii="仿宋" w:eastAsia="仿宋" w:hAnsi="仿宋" w:cs="仿宋" w:hint="eastAsia"/>
              </w:rPr>
              <w:t>：万元</w:t>
            </w:r>
          </w:p>
        </w:tc>
      </w:tr>
      <w:tr w:rsidR="00BA3F0B">
        <w:trPr>
          <w:trHeight w:val="196"/>
        </w:trPr>
        <w:tc>
          <w:tcPr>
            <w:tcW w:w="7947" w:type="dxa"/>
            <w:gridSpan w:val="2"/>
            <w:tcBorders>
              <w:top w:val="single" w:sz="4" w:space="0" w:color="000000"/>
              <w:left w:val="single" w:sz="4" w:space="0" w:color="000000"/>
              <w:bottom w:val="single" w:sz="4" w:space="0" w:color="000000"/>
            </w:tcBorders>
          </w:tcPr>
          <w:p w:rsidR="00BA3F0B" w:rsidRDefault="00827830">
            <w:pPr>
              <w:pStyle w:val="TableParagraph"/>
              <w:jc w:val="center"/>
              <w:rPr>
                <w:rFonts w:ascii="仿宋" w:eastAsia="仿宋" w:hAnsi="仿宋" w:cs="仿宋"/>
                <w:b/>
                <w:bCs/>
              </w:rPr>
            </w:pPr>
            <w:r>
              <w:rPr>
                <w:rFonts w:ascii="仿宋" w:eastAsia="仿宋" w:hAnsi="仿宋" w:cs="仿宋" w:hint="eastAsia"/>
                <w:b/>
                <w:bCs/>
              </w:rPr>
              <w:t>收</w:t>
            </w:r>
            <w:r>
              <w:rPr>
                <w:rFonts w:ascii="仿宋" w:eastAsia="仿宋" w:hAnsi="仿宋" w:cs="仿宋" w:hint="eastAsia"/>
                <w:b/>
                <w:bCs/>
              </w:rPr>
              <w:tab/>
            </w:r>
            <w:r>
              <w:rPr>
                <w:rFonts w:ascii="仿宋" w:eastAsia="仿宋" w:hAnsi="仿宋" w:cs="仿宋" w:hint="eastAsia"/>
                <w:b/>
                <w:bCs/>
              </w:rPr>
              <w:t>入</w:t>
            </w:r>
          </w:p>
        </w:tc>
        <w:tc>
          <w:tcPr>
            <w:tcW w:w="7842" w:type="dxa"/>
            <w:gridSpan w:val="2"/>
            <w:tcBorders>
              <w:top w:val="single" w:sz="4" w:space="0" w:color="000000"/>
              <w:left w:val="single" w:sz="4" w:space="0" w:color="000000"/>
              <w:bottom w:val="single" w:sz="4" w:space="0" w:color="000000"/>
              <w:right w:val="single" w:sz="4" w:space="0" w:color="000000"/>
            </w:tcBorders>
          </w:tcPr>
          <w:p w:rsidR="00BA3F0B" w:rsidRDefault="00827830">
            <w:pPr>
              <w:pStyle w:val="TableParagraph"/>
              <w:jc w:val="center"/>
              <w:rPr>
                <w:rFonts w:ascii="仿宋" w:eastAsia="仿宋" w:hAnsi="仿宋" w:cs="仿宋"/>
                <w:b/>
                <w:bCs/>
              </w:rPr>
            </w:pPr>
            <w:r>
              <w:rPr>
                <w:rFonts w:ascii="仿宋" w:eastAsia="仿宋" w:hAnsi="仿宋" w:cs="仿宋" w:hint="eastAsia"/>
                <w:b/>
                <w:bCs/>
              </w:rPr>
              <w:t>支</w:t>
            </w:r>
            <w:r>
              <w:rPr>
                <w:rFonts w:ascii="仿宋" w:eastAsia="仿宋" w:hAnsi="仿宋" w:cs="仿宋" w:hint="eastAsia"/>
                <w:b/>
                <w:bCs/>
              </w:rPr>
              <w:tab/>
            </w:r>
            <w:r>
              <w:rPr>
                <w:rFonts w:ascii="仿宋" w:eastAsia="仿宋" w:hAnsi="仿宋" w:cs="仿宋" w:hint="eastAsia"/>
                <w:b/>
                <w:bCs/>
              </w:rPr>
              <w:t>出</w:t>
            </w:r>
          </w:p>
        </w:tc>
      </w:tr>
      <w:tr w:rsidR="00BA3F0B">
        <w:trPr>
          <w:trHeight w:val="468"/>
        </w:trPr>
        <w:tc>
          <w:tcPr>
            <w:tcW w:w="3987"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b/>
                <w:bCs/>
              </w:rPr>
            </w:pPr>
            <w:r>
              <w:rPr>
                <w:rFonts w:ascii="仿宋" w:eastAsia="仿宋" w:hAnsi="仿宋" w:cs="仿宋"/>
                <w:b/>
              </w:rPr>
              <w:t>项</w:t>
            </w:r>
            <w:r>
              <w:rPr>
                <w:rFonts w:ascii="仿宋" w:eastAsia="仿宋" w:hAnsi="仿宋" w:cs="仿宋" w:hint="eastAsia"/>
                <w:b/>
                <w:bCs/>
              </w:rPr>
              <w:tab/>
            </w:r>
            <w:r>
              <w:rPr>
                <w:rFonts w:ascii="仿宋" w:eastAsia="仿宋" w:hAnsi="仿宋" w:cs="仿宋" w:hint="eastAsia"/>
                <w:b/>
                <w:bCs/>
              </w:rPr>
              <w:t>目</w:t>
            </w:r>
          </w:p>
        </w:tc>
        <w:tc>
          <w:tcPr>
            <w:tcW w:w="3960"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c>
          <w:tcPr>
            <w:tcW w:w="3943" w:type="dxa"/>
            <w:tcBorders>
              <w:left w:val="single" w:sz="4" w:space="0" w:color="000000"/>
              <w:bottom w:val="single" w:sz="4" w:space="0" w:color="000000"/>
            </w:tcBorders>
            <w:vAlign w:val="center"/>
          </w:tcPr>
          <w:p w:rsidR="00BA3F0B" w:rsidRDefault="00827830">
            <w:pPr>
              <w:jc w:val="center"/>
              <w:rPr>
                <w:rFonts w:ascii="仿宋" w:eastAsia="仿宋" w:hAnsi="仿宋" w:cs="仿宋"/>
                <w:b/>
                <w:bCs/>
              </w:rPr>
            </w:pPr>
            <w:r>
              <w:rPr>
                <w:rFonts w:ascii="仿宋" w:eastAsia="仿宋" w:hAnsi="仿宋" w:cs="仿宋" w:hint="eastAsia"/>
                <w:b/>
                <w:bCs/>
                <w:lang w:val="en-US"/>
              </w:rPr>
              <w:t>项目</w:t>
            </w:r>
          </w:p>
        </w:tc>
        <w:tc>
          <w:tcPr>
            <w:tcW w:w="3899" w:type="dxa"/>
            <w:tcBorders>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b/>
                <w:bCs/>
              </w:rPr>
            </w:pPr>
            <w:r>
              <w:rPr>
                <w:rFonts w:ascii="仿宋" w:eastAsia="仿宋" w:hAnsi="仿宋" w:cs="仿宋" w:hint="eastAsia"/>
                <w:b/>
                <w:bCs/>
              </w:rPr>
              <w:t>预算</w:t>
            </w:r>
            <w:r>
              <w:rPr>
                <w:rFonts w:ascii="仿宋" w:eastAsia="仿宋" w:hAnsi="仿宋" w:cs="仿宋" w:hint="eastAsia"/>
                <w:b/>
                <w:bCs/>
              </w:rPr>
              <w:t>数</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一、本年收入</w:t>
            </w: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45,053.98</w:t>
            </w: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一、本年支出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45,053.98</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45,053.98</w:t>
            </w: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（一）一般公共服务支出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（二）外交支出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（三）国防支出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二、上年结转</w:t>
            </w: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（四）公共安全支出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（一）一般公共预算拨款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（五）教育支出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（二）政府性基金预算拨款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（六）科学技术支出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（三）国有资本经营预算拨款</w:t>
            </w: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（七）文化旅游体育与传媒支出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（八）社会保障和就业支出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943.19</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（九）社会保险基金支出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（十）卫生健康支出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277.00</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（十一）节能环保支出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（十二）城乡社区支出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29,315.40</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（十三）农林水支出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313.11</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（十四）交通运输支出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（十五）资源勘探工业信息等支出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（十六）商业服务业等支出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（十七）金融支出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（十八）援助其他地区支出</w:t>
            </w:r>
            <w:r>
              <w:rPr>
                <w:rFonts w:ascii="仿宋" w:eastAsia="仿宋" w:hAnsi="仿宋" w:cs="仿宋" w:hint="eastAsia"/>
              </w:rPr>
              <w:t xml:space="preserve"> </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（十九）自然资源海洋气象等支出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9,568.87</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（二十）住房保障支出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1,961.41</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（二十一）粮油物资储备支出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（二十二）国有资本经营预算支出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（二十三）灾害防治及应急管理支出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2,675.00</w:t>
            </w: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（二十四）预备费</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（二十五）其他支出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（二十六）转移性支出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（二十七）债务还本支出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（二十八）债务付息支出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（二十九）债务发行费用支出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（三十）抗疫特别国债安排的支出</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trHeight w:val="249"/>
        </w:trPr>
        <w:tc>
          <w:tcPr>
            <w:tcW w:w="398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rPr>
                <w:rFonts w:ascii="仿宋" w:eastAsia="仿宋" w:hAnsi="仿宋" w:cs="仿宋"/>
              </w:rPr>
            </w:pPr>
          </w:p>
        </w:tc>
        <w:tc>
          <w:tcPr>
            <w:tcW w:w="396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394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二、年终结转结余</w:t>
            </w:r>
          </w:p>
        </w:tc>
        <w:tc>
          <w:tcPr>
            <w:tcW w:w="3899"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lang w:val="en-US"/>
              </w:rPr>
            </w:pPr>
          </w:p>
        </w:tc>
      </w:tr>
      <w:tr w:rsidR="00BA3F0B">
        <w:trPr>
          <w:cantSplit/>
          <w:trHeight w:hRule="exact" w:val="296"/>
        </w:trPr>
        <w:tc>
          <w:tcPr>
            <w:tcW w:w="3987"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b/>
                <w:bCs/>
                <w:lang w:val="en-US"/>
              </w:rPr>
              <w:t>收入</w:t>
            </w:r>
            <w:r>
              <w:rPr>
                <w:rFonts w:ascii="仿宋" w:eastAsia="仿宋" w:hAnsi="仿宋" w:cs="仿宋" w:hint="eastAsia"/>
                <w:b/>
                <w:bCs/>
              </w:rPr>
              <w:t>总计</w:t>
            </w:r>
          </w:p>
        </w:tc>
        <w:tc>
          <w:tcPr>
            <w:tcW w:w="3960" w:type="dxa"/>
            <w:tcBorders>
              <w:left w:val="single" w:sz="4" w:space="0" w:color="000000"/>
              <w:bottom w:val="single" w:sz="4" w:space="0" w:color="000000"/>
            </w:tcBorders>
            <w:vAlign w:val="center"/>
          </w:tcPr>
          <w:p w:rsidR="00BA3F0B" w:rsidRDefault="00827830">
            <w:pPr>
              <w:jc w:val="right"/>
              <w:rPr>
                <w:rFonts w:ascii="仿宋" w:eastAsia="仿宋" w:hAnsi="仿宋" w:cs="仿宋"/>
              </w:rPr>
            </w:pPr>
            <w:r>
              <w:rPr>
                <w:rFonts w:ascii="仿宋" w:eastAsia="仿宋" w:hAnsi="仿宋" w:cs="仿宋" w:hint="eastAsia"/>
              </w:rPr>
              <w:t>45,053.98</w:t>
            </w:r>
          </w:p>
        </w:tc>
        <w:tc>
          <w:tcPr>
            <w:tcW w:w="3943"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b/>
                <w:bCs/>
                <w:lang w:val="en-US"/>
              </w:rPr>
              <w:t>支出</w:t>
            </w:r>
            <w:r>
              <w:rPr>
                <w:rFonts w:ascii="仿宋" w:eastAsia="仿宋" w:hAnsi="仿宋" w:cs="仿宋" w:hint="eastAsia"/>
                <w:b/>
                <w:bCs/>
              </w:rPr>
              <w:t>总计</w:t>
            </w:r>
          </w:p>
        </w:tc>
        <w:tc>
          <w:tcPr>
            <w:tcW w:w="3899" w:type="dxa"/>
            <w:tcBorders>
              <w:left w:val="single" w:sz="4" w:space="0" w:color="000000"/>
              <w:bottom w:val="single" w:sz="4" w:space="0" w:color="000000"/>
              <w:right w:val="single" w:sz="4" w:space="0" w:color="000000"/>
            </w:tcBorders>
            <w:vAlign w:val="center"/>
          </w:tcPr>
          <w:p w:rsidR="00BA3F0B" w:rsidRDefault="00827830">
            <w:pPr>
              <w:jc w:val="right"/>
              <w:rPr>
                <w:rFonts w:ascii="仿宋" w:eastAsia="仿宋" w:hAnsi="仿宋" w:cs="仿宋"/>
              </w:rPr>
            </w:pPr>
            <w:r>
              <w:rPr>
                <w:rFonts w:ascii="仿宋" w:eastAsia="仿宋" w:hAnsi="仿宋" w:cs="仿宋" w:hint="eastAsia"/>
              </w:rPr>
              <w:t>45,053.98</w:t>
            </w:r>
          </w:p>
        </w:tc>
      </w:tr>
    </w:tbl>
    <w:p w:rsidR="00BA3F0B" w:rsidRDefault="00BA3F0B">
      <w:pPr>
        <w:ind w:leftChars="-100" w:left="-220"/>
        <w:rPr>
          <w:rFonts w:ascii="仿宋" w:eastAsia="仿宋" w:hAnsi="仿宋" w:cs="仿宋"/>
          <w:b/>
          <w:bCs/>
        </w:rPr>
        <w:sectPr w:rsidR="00BA3F0B">
          <w:footerReference w:type="default" r:id="rId15"/>
          <w:pgSz w:w="16838" w:h="11906" w:orient="landscape"/>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firstRow="1" w:lastRow="0" w:firstColumn="1" w:lastColumn="0" w:noHBand="0" w:noVBand="1"/>
      </w:tblPr>
      <w:tblGrid>
        <w:gridCol w:w="1846"/>
        <w:gridCol w:w="4213"/>
        <w:gridCol w:w="2040"/>
        <w:gridCol w:w="1827"/>
        <w:gridCol w:w="1813"/>
        <w:gridCol w:w="1813"/>
        <w:gridCol w:w="1664"/>
      </w:tblGrid>
      <w:tr w:rsidR="00BA3F0B">
        <w:trPr>
          <w:trHeight w:val="321"/>
        </w:trPr>
        <w:tc>
          <w:tcPr>
            <w:tcW w:w="15216" w:type="dxa"/>
            <w:gridSpan w:val="7"/>
            <w:vAlign w:val="center"/>
          </w:tcPr>
          <w:p w:rsidR="00BA3F0B" w:rsidRDefault="00827830">
            <w:pPr>
              <w:pStyle w:val="TableParagraph"/>
              <w:spacing w:after="34" w:line="34" w:lineRule="atLeast"/>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05</w:t>
            </w:r>
            <w:r>
              <w:rPr>
                <w:rFonts w:ascii="仿宋" w:eastAsia="仿宋" w:hAnsi="仿宋" w:cs="仿宋" w:hint="eastAsia"/>
              </w:rPr>
              <w:t>表</w:t>
            </w:r>
          </w:p>
        </w:tc>
      </w:tr>
      <w:tr w:rsidR="00BA3F0B">
        <w:trPr>
          <w:trHeight w:val="321"/>
        </w:trPr>
        <w:tc>
          <w:tcPr>
            <w:tcW w:w="15216" w:type="dxa"/>
            <w:gridSpan w:val="7"/>
          </w:tcPr>
          <w:p w:rsidR="00BA3F0B" w:rsidRDefault="00827830">
            <w:pPr>
              <w:pStyle w:val="TableParagraph"/>
              <w:spacing w:after="34" w:line="34" w:lineRule="atLeast"/>
              <w:jc w:val="center"/>
              <w:rPr>
                <w:rFonts w:ascii="仿宋" w:eastAsia="仿宋" w:hAnsi="仿宋" w:cs="仿宋"/>
                <w:sz w:val="27"/>
              </w:rPr>
            </w:pPr>
            <w:r>
              <w:rPr>
                <w:rFonts w:ascii="仿宋" w:eastAsia="仿宋" w:hAnsi="仿宋" w:cs="仿宋" w:hint="eastAsia"/>
                <w:b/>
                <w:bCs/>
                <w:sz w:val="44"/>
                <w:szCs w:val="44"/>
              </w:rPr>
              <w:t>财政拨款支出表（功能科目）</w:t>
            </w:r>
          </w:p>
        </w:tc>
      </w:tr>
      <w:tr w:rsidR="00BA3F0B">
        <w:trPr>
          <w:trHeight w:val="309"/>
        </w:trPr>
        <w:tc>
          <w:tcPr>
            <w:tcW w:w="13552" w:type="dxa"/>
            <w:gridSpan w:val="6"/>
          </w:tcPr>
          <w:p w:rsidR="00BA3F0B" w:rsidRDefault="00827830">
            <w:pPr>
              <w:pStyle w:val="TableParagraph"/>
              <w:spacing w:after="34" w:line="34" w:lineRule="atLeast"/>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1664" w:type="dxa"/>
            <w:vAlign w:val="center"/>
          </w:tcPr>
          <w:p w:rsidR="00BA3F0B" w:rsidRDefault="00827830">
            <w:pPr>
              <w:pStyle w:val="TableParagraph"/>
              <w:spacing w:after="34" w:line="34" w:lineRule="atLeast"/>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BA3F0B">
        <w:trPr>
          <w:trHeight w:val="319"/>
        </w:trPr>
        <w:tc>
          <w:tcPr>
            <w:tcW w:w="1846" w:type="dxa"/>
            <w:vMerge w:val="restart"/>
            <w:tcBorders>
              <w:top w:val="single" w:sz="6" w:space="0" w:color="000000"/>
              <w:left w:val="single" w:sz="6"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科目编码</w:t>
            </w:r>
          </w:p>
        </w:tc>
        <w:tc>
          <w:tcPr>
            <w:tcW w:w="4213" w:type="dxa"/>
            <w:vMerge w:val="restart"/>
            <w:tcBorders>
              <w:top w:val="single" w:sz="6" w:space="0" w:color="000000"/>
              <w:left w:val="single" w:sz="6"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科目名称</w:t>
            </w:r>
          </w:p>
        </w:tc>
        <w:tc>
          <w:tcPr>
            <w:tcW w:w="2040" w:type="dxa"/>
            <w:vMerge w:val="restart"/>
            <w:tcBorders>
              <w:top w:val="single" w:sz="6" w:space="0" w:color="000000"/>
              <w:left w:val="single" w:sz="6"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5453" w:type="dxa"/>
            <w:gridSpan w:val="3"/>
            <w:tcBorders>
              <w:top w:val="single" w:sz="6" w:space="0" w:color="000000"/>
              <w:left w:val="single" w:sz="6" w:space="0" w:color="000000"/>
              <w:bottom w:val="single" w:sz="6"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基本支出</w:t>
            </w:r>
          </w:p>
        </w:tc>
        <w:tc>
          <w:tcPr>
            <w:tcW w:w="1664" w:type="dxa"/>
            <w:vMerge w:val="restart"/>
            <w:tcBorders>
              <w:top w:val="single" w:sz="6" w:space="0" w:color="000000"/>
              <w:left w:val="single" w:sz="6" w:space="0" w:color="000000"/>
              <w:right w:val="single" w:sz="6"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项目支出</w:t>
            </w:r>
          </w:p>
        </w:tc>
      </w:tr>
      <w:tr w:rsidR="00BA3F0B">
        <w:trPr>
          <w:trHeight w:val="296"/>
        </w:trPr>
        <w:tc>
          <w:tcPr>
            <w:tcW w:w="1846" w:type="dxa"/>
            <w:vMerge/>
            <w:tcBorders>
              <w:left w:val="single" w:sz="6" w:space="0" w:color="000000"/>
              <w:bottom w:val="single" w:sz="6" w:space="0" w:color="000000"/>
            </w:tcBorders>
            <w:vAlign w:val="center"/>
          </w:tcPr>
          <w:p w:rsidR="00BA3F0B" w:rsidRDefault="00BA3F0B">
            <w:pPr>
              <w:pStyle w:val="TableParagraph"/>
              <w:spacing w:after="34" w:line="34" w:lineRule="atLeast"/>
              <w:jc w:val="center"/>
              <w:rPr>
                <w:rFonts w:ascii="仿宋" w:eastAsia="仿宋" w:hAnsi="仿宋" w:cs="仿宋"/>
              </w:rPr>
            </w:pPr>
          </w:p>
        </w:tc>
        <w:tc>
          <w:tcPr>
            <w:tcW w:w="4213" w:type="dxa"/>
            <w:vMerge/>
            <w:tcBorders>
              <w:left w:val="single" w:sz="6" w:space="0" w:color="000000"/>
              <w:bottom w:val="single" w:sz="6" w:space="0" w:color="000000"/>
            </w:tcBorders>
            <w:vAlign w:val="center"/>
          </w:tcPr>
          <w:p w:rsidR="00BA3F0B" w:rsidRDefault="00BA3F0B">
            <w:pPr>
              <w:pStyle w:val="TableParagraph"/>
              <w:spacing w:after="34" w:line="34" w:lineRule="atLeast"/>
              <w:jc w:val="center"/>
              <w:rPr>
                <w:rFonts w:ascii="仿宋" w:eastAsia="仿宋" w:hAnsi="仿宋" w:cs="仿宋"/>
              </w:rPr>
            </w:pPr>
          </w:p>
        </w:tc>
        <w:tc>
          <w:tcPr>
            <w:tcW w:w="2040" w:type="dxa"/>
            <w:vMerge/>
            <w:tcBorders>
              <w:left w:val="single" w:sz="6" w:space="0" w:color="000000"/>
              <w:bottom w:val="single" w:sz="6" w:space="0" w:color="000000"/>
            </w:tcBorders>
          </w:tcPr>
          <w:p w:rsidR="00BA3F0B" w:rsidRDefault="00BA3F0B">
            <w:pPr>
              <w:spacing w:after="34" w:line="34" w:lineRule="atLeast"/>
              <w:rPr>
                <w:rFonts w:ascii="仿宋" w:eastAsia="仿宋" w:hAnsi="仿宋" w:cs="仿宋"/>
              </w:rPr>
            </w:pPr>
          </w:p>
        </w:tc>
        <w:tc>
          <w:tcPr>
            <w:tcW w:w="1827" w:type="dxa"/>
            <w:tcBorders>
              <w:left w:val="single" w:sz="6" w:space="0" w:color="000000"/>
              <w:bottom w:val="single" w:sz="6" w:space="0" w:color="000000"/>
            </w:tcBorders>
            <w:vAlign w:val="center"/>
          </w:tcPr>
          <w:p w:rsidR="00BA3F0B" w:rsidRDefault="00827830">
            <w:pPr>
              <w:widowControl/>
              <w:spacing w:after="34" w:line="34" w:lineRule="atLeast"/>
              <w:jc w:val="center"/>
              <w:rPr>
                <w:rFonts w:ascii="仿宋" w:eastAsia="仿宋" w:hAnsi="仿宋" w:cs="仿宋"/>
                <w:lang w:val="en-US"/>
              </w:rPr>
            </w:pPr>
            <w:r>
              <w:rPr>
                <w:rFonts w:ascii="仿宋" w:eastAsia="仿宋" w:hAnsi="仿宋" w:cs="仿宋" w:hint="eastAsia"/>
                <w:lang w:val="en-US"/>
              </w:rPr>
              <w:t>小计</w:t>
            </w:r>
          </w:p>
        </w:tc>
        <w:tc>
          <w:tcPr>
            <w:tcW w:w="1813" w:type="dxa"/>
            <w:tcBorders>
              <w:left w:val="single" w:sz="6" w:space="0" w:color="000000"/>
              <w:bottom w:val="single" w:sz="6" w:space="0" w:color="000000"/>
            </w:tcBorders>
            <w:vAlign w:val="center"/>
          </w:tcPr>
          <w:p w:rsidR="00BA3F0B" w:rsidRDefault="00827830">
            <w:pPr>
              <w:widowControl/>
              <w:spacing w:after="34" w:line="34" w:lineRule="atLeast"/>
              <w:jc w:val="center"/>
              <w:rPr>
                <w:rFonts w:ascii="仿宋" w:eastAsia="仿宋" w:hAnsi="仿宋" w:cs="仿宋"/>
              </w:rPr>
            </w:pPr>
            <w:r>
              <w:rPr>
                <w:rFonts w:ascii="仿宋" w:eastAsia="仿宋" w:hAnsi="仿宋" w:cs="仿宋" w:hint="eastAsia"/>
                <w:lang w:val="en-US"/>
              </w:rPr>
              <w:t>人员经费</w:t>
            </w:r>
          </w:p>
        </w:tc>
        <w:tc>
          <w:tcPr>
            <w:tcW w:w="1813" w:type="dxa"/>
            <w:tcBorders>
              <w:left w:val="single" w:sz="6" w:space="0" w:color="000000"/>
              <w:bottom w:val="single" w:sz="6" w:space="0" w:color="000000"/>
            </w:tcBorders>
            <w:vAlign w:val="center"/>
          </w:tcPr>
          <w:p w:rsidR="00BA3F0B" w:rsidRDefault="00827830">
            <w:pPr>
              <w:widowControl/>
              <w:spacing w:after="34" w:line="34" w:lineRule="atLeast"/>
              <w:jc w:val="center"/>
              <w:rPr>
                <w:rFonts w:ascii="仿宋" w:eastAsia="仿宋" w:hAnsi="仿宋" w:cs="仿宋"/>
              </w:rPr>
            </w:pPr>
            <w:r>
              <w:rPr>
                <w:rFonts w:ascii="仿宋" w:eastAsia="仿宋" w:hAnsi="仿宋" w:cs="仿宋" w:hint="eastAsia"/>
                <w:lang w:val="en-US"/>
              </w:rPr>
              <w:t>公用经费</w:t>
            </w:r>
          </w:p>
        </w:tc>
        <w:tc>
          <w:tcPr>
            <w:tcW w:w="1664" w:type="dxa"/>
            <w:vMerge/>
            <w:tcBorders>
              <w:left w:val="single" w:sz="6" w:space="0" w:color="000000"/>
              <w:bottom w:val="single" w:sz="6" w:space="0" w:color="000000"/>
              <w:right w:val="single" w:sz="6" w:space="0" w:color="000000"/>
            </w:tcBorders>
          </w:tcPr>
          <w:p w:rsidR="00BA3F0B" w:rsidRDefault="00BA3F0B">
            <w:pPr>
              <w:spacing w:after="34" w:line="34" w:lineRule="atLeast"/>
              <w:rPr>
                <w:rFonts w:ascii="仿宋" w:eastAsia="仿宋" w:hAnsi="仿宋" w:cs="仿宋"/>
              </w:rPr>
            </w:pPr>
          </w:p>
        </w:tc>
      </w:tr>
      <w:tr w:rsidR="00BA3F0B">
        <w:trPr>
          <w:trHeight w:hRule="exact" w:val="350"/>
        </w:trPr>
        <w:tc>
          <w:tcPr>
            <w:tcW w:w="6059" w:type="dxa"/>
            <w:gridSpan w:val="2"/>
            <w:tcBorders>
              <w:left w:val="single" w:sz="6" w:space="0" w:color="000000"/>
              <w:bottom w:val="single" w:sz="6" w:space="0" w:color="000000"/>
            </w:tcBorders>
            <w:vAlign w:val="center"/>
          </w:tcPr>
          <w:p w:rsidR="00BA3F0B" w:rsidRDefault="00827830">
            <w:pPr>
              <w:pStyle w:val="TableParagraph"/>
              <w:spacing w:after="34" w:line="34" w:lineRule="atLeast"/>
              <w:jc w:val="center"/>
              <w:rPr>
                <w:rFonts w:ascii="仿宋" w:eastAsia="仿宋" w:hAnsi="仿宋" w:cs="仿宋"/>
              </w:rPr>
            </w:pPr>
            <w:r>
              <w:rPr>
                <w:rFonts w:ascii="仿宋" w:eastAsia="仿宋" w:hAnsi="仿宋" w:cs="仿宋" w:hint="eastAsia"/>
              </w:rPr>
              <w:t>合计</w:t>
            </w:r>
          </w:p>
        </w:tc>
        <w:tc>
          <w:tcPr>
            <w:tcW w:w="2040" w:type="dxa"/>
            <w:tcBorders>
              <w:left w:val="single" w:sz="6" w:space="0" w:color="000000"/>
              <w:bottom w:val="single" w:sz="6" w:space="0" w:color="000000"/>
            </w:tcBorders>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45,053.98</w:t>
            </w:r>
          </w:p>
        </w:tc>
        <w:tc>
          <w:tcPr>
            <w:tcW w:w="1827" w:type="dxa"/>
            <w:tcBorders>
              <w:left w:val="single" w:sz="6" w:space="0" w:color="000000"/>
              <w:bottom w:val="single" w:sz="6" w:space="0" w:color="000000"/>
            </w:tcBorders>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8,874.88</w:t>
            </w:r>
          </w:p>
        </w:tc>
        <w:tc>
          <w:tcPr>
            <w:tcW w:w="1813" w:type="dxa"/>
            <w:tcBorders>
              <w:left w:val="single" w:sz="6" w:space="0" w:color="000000"/>
              <w:bottom w:val="single" w:sz="6" w:space="0" w:color="000000"/>
            </w:tcBorders>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8,454.48</w:t>
            </w:r>
          </w:p>
        </w:tc>
        <w:tc>
          <w:tcPr>
            <w:tcW w:w="1813" w:type="dxa"/>
            <w:tcBorders>
              <w:left w:val="single" w:sz="6" w:space="0" w:color="000000"/>
              <w:bottom w:val="single" w:sz="6" w:space="0" w:color="000000"/>
            </w:tcBorders>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420.40</w:t>
            </w:r>
          </w:p>
        </w:tc>
        <w:tc>
          <w:tcPr>
            <w:tcW w:w="1664" w:type="dxa"/>
            <w:tcBorders>
              <w:left w:val="single" w:sz="6" w:space="0" w:color="000000"/>
              <w:bottom w:val="single" w:sz="6" w:space="0" w:color="000000"/>
              <w:right w:val="single" w:sz="6" w:space="0" w:color="000000"/>
            </w:tcBorders>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36,179.10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208</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社会保障和就业支出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943.19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943.19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943.19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20805</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行政事业单位养老支出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943.19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943.19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943.19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2080505</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机关事业单位基本养老保险缴费支出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628.79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628.79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628.79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2080506</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机关事业单位职业年金缴费支出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314.40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314.40</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314.40</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210</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卫生健康支出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277.00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277.00</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277.00</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21011</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行政事业单位医疗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277.00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277.00</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277.00</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2101101</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行政单位医疗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149.38</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149.38</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149.38</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2101102</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事业单位医疗</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127.62</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127.62</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127.62</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212</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城乡社区支出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29,315.40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29,315.40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21201</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城乡社区管理事务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28,825.00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28,825.00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2120199</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其他城乡社区管理事务支出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28,825.00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28,825.00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21202</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城乡社区规划与管理</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390.40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390.40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2120201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城乡社区规划与管理</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390.40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390.40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21299</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其他城乡社区支出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100.00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2129999</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其他城乡社区支出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100.00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100.00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213</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农林水支出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313.11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257.39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237.78</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w:t>
            </w: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55.72</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21302</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林业和草原</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313.11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257.39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237.78</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w:t>
            </w: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55.72</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2130204</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事业机构</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257.39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257.39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237.78</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w:t>
            </w: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2130299</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其他林业和草原支出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55.72</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55.72</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220</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自然资源海洋气象等支出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9,568.87</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5,435.89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5,035.10</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400.79</w:t>
            </w: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4,132.98</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22001</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自然资源事务</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9,568.87</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5,435.89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5,035.10</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400.79</w:t>
            </w: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4,132.98</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2200101</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行政运行</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2,901.68</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2,843.18</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2,588.06</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255.12</w:t>
            </w: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58.50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2200108</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自然资源行业业务管理</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3,178.66</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3,178.66</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2200199</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其他自然资源事务支出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3,488.53</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2,592.71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2,447.04</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145.67</w:t>
            </w: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895.82</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221</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住房保障支出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1,961.41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1,961.41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1,961.41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22102</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住房改革支出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1,961.41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1,961.41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1,961.41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2210201</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住房公积金</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623.81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623.81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623.81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2210202</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提租补贴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514.91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514.91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514.91</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2210203</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购房补贴</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822.69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822.69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822.69</w:t>
            </w: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spacing w:after="34" w:line="34" w:lineRule="atLeast"/>
              <w:jc w:val="right"/>
              <w:rPr>
                <w:rFonts w:ascii="仿宋" w:eastAsia="仿宋" w:hAnsi="仿宋" w:cs="仿宋"/>
              </w:rPr>
            </w:pP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224</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灾害防治及应急管理支出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2,675.00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2,675.00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22499</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其他灾害防治及应急管理支出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2,675.00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2,675.00</w:t>
            </w:r>
          </w:p>
        </w:tc>
      </w:tr>
      <w:tr w:rsidR="00BA3F0B">
        <w:trPr>
          <w:cantSplit/>
          <w:trHeight w:val="296"/>
        </w:trPr>
        <w:tc>
          <w:tcPr>
            <w:tcW w:w="1846"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 xml:space="preserve">    2249999</w:t>
            </w:r>
          </w:p>
        </w:tc>
        <w:tc>
          <w:tcPr>
            <w:tcW w:w="421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rPr>
                <w:rFonts w:ascii="仿宋" w:eastAsia="仿宋" w:hAnsi="仿宋" w:cs="仿宋"/>
              </w:rPr>
            </w:pPr>
            <w:r>
              <w:rPr>
                <w:rFonts w:ascii="仿宋" w:eastAsia="仿宋" w:hAnsi="仿宋" w:cs="仿宋" w:hint="eastAsia"/>
              </w:rPr>
              <w:t>其他灾害防治及应急管理支出</w:t>
            </w:r>
          </w:p>
        </w:tc>
        <w:tc>
          <w:tcPr>
            <w:tcW w:w="204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2,675.00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81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spacing w:after="34" w:line="34" w:lineRule="atLeast"/>
              <w:jc w:val="right"/>
              <w:rPr>
                <w:rFonts w:ascii="仿宋" w:eastAsia="仿宋" w:hAnsi="仿宋" w:cs="仿宋"/>
              </w:rPr>
            </w:pPr>
          </w:p>
        </w:tc>
        <w:tc>
          <w:tcPr>
            <w:tcW w:w="1664"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spacing w:after="34" w:line="34" w:lineRule="atLeast"/>
              <w:jc w:val="right"/>
              <w:rPr>
                <w:rFonts w:ascii="仿宋" w:eastAsia="仿宋" w:hAnsi="仿宋" w:cs="仿宋"/>
              </w:rPr>
            </w:pPr>
            <w:r>
              <w:rPr>
                <w:rFonts w:ascii="仿宋" w:eastAsia="仿宋" w:hAnsi="仿宋" w:cs="仿宋" w:hint="eastAsia"/>
              </w:rPr>
              <w:t>2,675.00</w:t>
            </w:r>
          </w:p>
        </w:tc>
      </w:tr>
    </w:tbl>
    <w:p w:rsidR="00BA3F0B" w:rsidRDefault="00BA3F0B">
      <w:pPr>
        <w:tabs>
          <w:tab w:val="left" w:pos="55"/>
        </w:tabs>
        <w:jc w:val="both"/>
        <w:rPr>
          <w:rFonts w:ascii="仿宋" w:eastAsia="仿宋" w:hAnsi="仿宋" w:cs="仿宋"/>
          <w:b/>
          <w:bCs/>
        </w:rPr>
        <w:sectPr w:rsidR="00BA3F0B">
          <w:footerReference w:type="default" r:id="rId16"/>
          <w:pgSz w:w="16838" w:h="11906" w:orient="landscape"/>
          <w:pgMar w:top="720" w:right="720" w:bottom="720" w:left="720" w:header="170" w:footer="280" w:gutter="0"/>
          <w:pgNumType w:fmt="numberInDash"/>
          <w:cols w:space="720"/>
          <w:formProt w:val="0"/>
          <w:docGrid w:linePitch="100"/>
        </w:sectPr>
      </w:pPr>
    </w:p>
    <w:p w:rsidR="00BA3F0B" w:rsidRDefault="00BA3F0B">
      <w:pPr>
        <w:rPr>
          <w:rFonts w:ascii="仿宋" w:eastAsia="仿宋" w:hAnsi="仿宋" w:cs="仿宋"/>
          <w:sz w:val="20"/>
        </w:rPr>
      </w:pPr>
    </w:p>
    <w:tbl>
      <w:tblPr>
        <w:tblW w:w="10817" w:type="dxa"/>
        <w:tblInd w:w="-103" w:type="dxa"/>
        <w:tblLayout w:type="fixed"/>
        <w:tblCellMar>
          <w:top w:w="55" w:type="dxa"/>
          <w:left w:w="55" w:type="dxa"/>
          <w:bottom w:w="55" w:type="dxa"/>
          <w:right w:w="55" w:type="dxa"/>
        </w:tblCellMar>
        <w:tblLook w:val="04A0" w:firstRow="1" w:lastRow="0" w:firstColumn="1" w:lastColumn="0" w:noHBand="0" w:noVBand="1"/>
      </w:tblPr>
      <w:tblGrid>
        <w:gridCol w:w="1131"/>
        <w:gridCol w:w="3542"/>
        <w:gridCol w:w="2047"/>
        <w:gridCol w:w="2040"/>
        <w:gridCol w:w="2057"/>
      </w:tblGrid>
      <w:tr w:rsidR="00BA3F0B">
        <w:trPr>
          <w:trHeight w:val="319"/>
        </w:trPr>
        <w:tc>
          <w:tcPr>
            <w:tcW w:w="10817" w:type="dxa"/>
            <w:gridSpan w:val="5"/>
            <w:vAlign w:val="center"/>
          </w:tcPr>
          <w:p w:rsidR="00BA3F0B" w:rsidRDefault="00827830">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06</w:t>
            </w:r>
            <w:r>
              <w:rPr>
                <w:rFonts w:ascii="仿宋" w:eastAsia="仿宋" w:hAnsi="仿宋" w:cs="仿宋" w:hint="eastAsia"/>
              </w:rPr>
              <w:t>表</w:t>
            </w:r>
          </w:p>
        </w:tc>
      </w:tr>
      <w:tr w:rsidR="00BA3F0B">
        <w:trPr>
          <w:trHeight w:val="319"/>
        </w:trPr>
        <w:tc>
          <w:tcPr>
            <w:tcW w:w="10817" w:type="dxa"/>
            <w:gridSpan w:val="5"/>
          </w:tcPr>
          <w:p w:rsidR="00BA3F0B" w:rsidRDefault="00827830">
            <w:pPr>
              <w:pStyle w:val="TableParagraph"/>
              <w:jc w:val="center"/>
              <w:rPr>
                <w:rFonts w:ascii="仿宋" w:eastAsia="仿宋" w:hAnsi="仿宋" w:cs="仿宋"/>
                <w:sz w:val="20"/>
              </w:rPr>
            </w:pPr>
            <w:r>
              <w:rPr>
                <w:rFonts w:ascii="仿宋" w:eastAsia="仿宋" w:hAnsi="仿宋" w:cs="仿宋" w:hint="eastAsia"/>
                <w:b/>
                <w:bCs/>
                <w:sz w:val="44"/>
                <w:szCs w:val="44"/>
              </w:rPr>
              <w:t>财政拨款基本支出表（经济科目）</w:t>
            </w:r>
          </w:p>
        </w:tc>
      </w:tr>
      <w:tr w:rsidR="00BA3F0B">
        <w:trPr>
          <w:trHeight w:val="319"/>
        </w:trPr>
        <w:tc>
          <w:tcPr>
            <w:tcW w:w="8760" w:type="dxa"/>
            <w:gridSpan w:val="4"/>
          </w:tcPr>
          <w:p w:rsidR="00BA3F0B" w:rsidRDefault="0082783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2057" w:type="dxa"/>
            <w:vAlign w:val="center"/>
          </w:tcPr>
          <w:p w:rsidR="00BA3F0B" w:rsidRDefault="00827830">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BA3F0B">
        <w:trPr>
          <w:trHeight w:val="243"/>
        </w:trPr>
        <w:tc>
          <w:tcPr>
            <w:tcW w:w="4673" w:type="dxa"/>
            <w:gridSpan w:val="2"/>
            <w:tcBorders>
              <w:top w:val="single" w:sz="4" w:space="0" w:color="000000"/>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部门预算支出经济分类科目</w:t>
            </w:r>
          </w:p>
        </w:tc>
        <w:tc>
          <w:tcPr>
            <w:tcW w:w="6144" w:type="dxa"/>
            <w:gridSpan w:val="3"/>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center"/>
              <w:rPr>
                <w:rFonts w:ascii="仿宋" w:eastAsia="仿宋" w:hAnsi="仿宋" w:cs="仿宋"/>
                <w:sz w:val="20"/>
              </w:rPr>
            </w:pPr>
            <w:r>
              <w:rPr>
                <w:rFonts w:ascii="仿宋" w:eastAsia="仿宋" w:hAnsi="仿宋" w:cs="仿宋" w:hint="eastAsia"/>
              </w:rPr>
              <w:t>本年财政拨款基本支出</w:t>
            </w:r>
          </w:p>
        </w:tc>
      </w:tr>
      <w:tr w:rsidR="00BA3F0B">
        <w:trPr>
          <w:trHeight w:val="267"/>
        </w:trPr>
        <w:tc>
          <w:tcPr>
            <w:tcW w:w="1131"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科目编码</w:t>
            </w:r>
          </w:p>
        </w:tc>
        <w:tc>
          <w:tcPr>
            <w:tcW w:w="3542"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科目名称</w:t>
            </w:r>
          </w:p>
        </w:tc>
        <w:tc>
          <w:tcPr>
            <w:tcW w:w="2047"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合计</w:t>
            </w:r>
          </w:p>
        </w:tc>
        <w:tc>
          <w:tcPr>
            <w:tcW w:w="2040"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人员经费</w:t>
            </w:r>
          </w:p>
        </w:tc>
        <w:tc>
          <w:tcPr>
            <w:tcW w:w="2057" w:type="dxa"/>
            <w:tcBorders>
              <w:left w:val="single" w:sz="4" w:space="0" w:color="000000"/>
              <w:bottom w:val="single" w:sz="4" w:space="0" w:color="000000"/>
              <w:right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公用经费</w:t>
            </w:r>
          </w:p>
        </w:tc>
      </w:tr>
      <w:tr w:rsidR="00BA3F0B">
        <w:trPr>
          <w:trHeight w:hRule="exact" w:val="350"/>
        </w:trPr>
        <w:tc>
          <w:tcPr>
            <w:tcW w:w="4673" w:type="dxa"/>
            <w:gridSpan w:val="2"/>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rPr>
              <w:t>合计</w:t>
            </w:r>
          </w:p>
        </w:tc>
        <w:tc>
          <w:tcPr>
            <w:tcW w:w="2047" w:type="dxa"/>
            <w:tcBorders>
              <w:left w:val="single" w:sz="4" w:space="0" w:color="000000"/>
              <w:bottom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8,874.88</w:t>
            </w:r>
          </w:p>
        </w:tc>
        <w:tc>
          <w:tcPr>
            <w:tcW w:w="2040" w:type="dxa"/>
            <w:tcBorders>
              <w:left w:val="single" w:sz="4" w:space="0" w:color="000000"/>
              <w:bottom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8,454.48</w:t>
            </w:r>
          </w:p>
        </w:tc>
        <w:tc>
          <w:tcPr>
            <w:tcW w:w="2057" w:type="dxa"/>
            <w:tcBorders>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420.40</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301</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7,754.84</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7,754.84</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30101</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基本工资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1,184.94</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1,184.94</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30102</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津贴补贴</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2,394.10</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2,394.10</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30103</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奖金</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1,178.47</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1,178.47</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30107</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绩效工资</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854.81</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854.81</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30108</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机关事业单位基本养老保险缴费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628.79</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628.79</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30109</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职业年金缴费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314.40</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314.40</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30110</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职工基本医疗保险缴费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275.11</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275.11</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30112</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其他社会保障缴费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63.53</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63.53</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30113</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住房公积金</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623.81</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623.81</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30114</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医疗费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35.28</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35.28</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30199</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其他工资福利支出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201.60</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201.60</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302</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420.40</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420.40</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30201</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办公费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176.88</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176.88</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30215</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会议费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1.30</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1.30</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30216</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培训费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1.94</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1.94</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30217</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公务接待费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3.43</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3.43</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30228</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工会经费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93.31</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93.31</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30231</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公务用车运行维护费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18.05</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18.05</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30239</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其他交通费用</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91.86</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91.86</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30299</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其他商品和服务支出</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33.63</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33.63</w:t>
            </w: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303</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699.64</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699.64</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30302</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退休费</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698.52</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698.52</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30309</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奖励金</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0.16</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0.16</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40"/>
        </w:trPr>
        <w:tc>
          <w:tcPr>
            <w:tcW w:w="1131"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30399</w:t>
            </w:r>
          </w:p>
        </w:tc>
        <w:tc>
          <w:tcPr>
            <w:tcW w:w="3542"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其他对个人和家庭的补助</w:t>
            </w:r>
          </w:p>
        </w:tc>
        <w:tc>
          <w:tcPr>
            <w:tcW w:w="204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0.96</w:t>
            </w:r>
          </w:p>
        </w:tc>
        <w:tc>
          <w:tcPr>
            <w:tcW w:w="2040"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0.96</w:t>
            </w:r>
          </w:p>
        </w:tc>
        <w:tc>
          <w:tcPr>
            <w:tcW w:w="2057"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bl>
    <w:p w:rsidR="00BA3F0B" w:rsidRDefault="00BA3F0B">
      <w:pPr>
        <w:spacing w:line="255" w:lineRule="exact"/>
        <w:rPr>
          <w:rFonts w:ascii="仿宋" w:eastAsia="仿宋" w:hAnsi="仿宋" w:cs="仿宋"/>
          <w:b/>
          <w:bCs/>
        </w:rPr>
        <w:sectPr w:rsidR="00BA3F0B">
          <w:footerReference w:type="default" r:id="rId17"/>
          <w:pgSz w:w="11906" w:h="16838"/>
          <w:pgMar w:top="720" w:right="720" w:bottom="720" w:left="720" w:header="170" w:footer="280" w:gutter="0"/>
          <w:pgNumType w:fmt="numberInDash"/>
          <w:cols w:space="720"/>
          <w:formProt w:val="0"/>
          <w:docGrid w:linePitch="100"/>
        </w:sectPr>
      </w:pPr>
    </w:p>
    <w:tbl>
      <w:tblPr>
        <w:tblW w:w="15216" w:type="dxa"/>
        <w:tblInd w:w="175" w:type="dxa"/>
        <w:tblLayout w:type="fixed"/>
        <w:tblCellMar>
          <w:top w:w="55" w:type="dxa"/>
          <w:left w:w="55" w:type="dxa"/>
          <w:bottom w:w="55" w:type="dxa"/>
          <w:right w:w="55" w:type="dxa"/>
        </w:tblCellMar>
        <w:tblLook w:val="04A0" w:firstRow="1" w:lastRow="0" w:firstColumn="1" w:lastColumn="0" w:noHBand="0" w:noVBand="1"/>
      </w:tblPr>
      <w:tblGrid>
        <w:gridCol w:w="1792"/>
        <w:gridCol w:w="4307"/>
        <w:gridCol w:w="1960"/>
        <w:gridCol w:w="1693"/>
        <w:gridCol w:w="1987"/>
        <w:gridCol w:w="1827"/>
        <w:gridCol w:w="1650"/>
      </w:tblGrid>
      <w:tr w:rsidR="00BA3F0B">
        <w:trPr>
          <w:trHeight w:val="321"/>
        </w:trPr>
        <w:tc>
          <w:tcPr>
            <w:tcW w:w="15216" w:type="dxa"/>
            <w:gridSpan w:val="7"/>
            <w:vAlign w:val="center"/>
          </w:tcPr>
          <w:p w:rsidR="00BA3F0B" w:rsidRDefault="00827830">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w:t>
            </w:r>
            <w:r>
              <w:rPr>
                <w:rFonts w:ascii="仿宋" w:eastAsia="仿宋" w:hAnsi="仿宋" w:cs="仿宋" w:hint="eastAsia"/>
                <w:lang w:val="en-US"/>
              </w:rPr>
              <w:t>7</w:t>
            </w:r>
            <w:r>
              <w:rPr>
                <w:rFonts w:ascii="仿宋" w:eastAsia="仿宋" w:hAnsi="仿宋" w:cs="仿宋" w:hint="eastAsia"/>
              </w:rPr>
              <w:t>表</w:t>
            </w:r>
          </w:p>
        </w:tc>
      </w:tr>
      <w:tr w:rsidR="00BA3F0B">
        <w:trPr>
          <w:trHeight w:val="321"/>
        </w:trPr>
        <w:tc>
          <w:tcPr>
            <w:tcW w:w="15216" w:type="dxa"/>
            <w:gridSpan w:val="7"/>
          </w:tcPr>
          <w:p w:rsidR="00BA3F0B" w:rsidRDefault="00827830">
            <w:pPr>
              <w:pStyle w:val="TableParagraph"/>
              <w:jc w:val="center"/>
              <w:rPr>
                <w:rFonts w:ascii="仿宋" w:eastAsia="仿宋" w:hAnsi="仿宋" w:cs="仿宋"/>
                <w:sz w:val="27"/>
              </w:rPr>
            </w:pPr>
            <w:r>
              <w:rPr>
                <w:rFonts w:ascii="仿宋" w:eastAsia="仿宋" w:hAnsi="仿宋" w:cs="仿宋" w:hint="eastAsia"/>
                <w:b/>
                <w:bCs/>
                <w:sz w:val="44"/>
                <w:szCs w:val="44"/>
              </w:rPr>
              <w:t>一般公共预算支出表</w:t>
            </w:r>
          </w:p>
        </w:tc>
      </w:tr>
      <w:tr w:rsidR="00BA3F0B">
        <w:trPr>
          <w:trHeight w:val="288"/>
        </w:trPr>
        <w:tc>
          <w:tcPr>
            <w:tcW w:w="13566" w:type="dxa"/>
            <w:gridSpan w:val="6"/>
          </w:tcPr>
          <w:p w:rsidR="00BA3F0B" w:rsidRDefault="00827830">
            <w:pPr>
              <w:pStyle w:val="TableParagraph"/>
              <w:rPr>
                <w:rFonts w:ascii="仿宋" w:eastAsia="仿宋" w:hAnsi="仿宋" w:cs="仿宋"/>
                <w:sz w:val="27"/>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1650" w:type="dxa"/>
            <w:vAlign w:val="center"/>
          </w:tcPr>
          <w:p w:rsidR="00BA3F0B" w:rsidRDefault="00827830">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BA3F0B">
        <w:trPr>
          <w:trHeight w:val="319"/>
        </w:trPr>
        <w:tc>
          <w:tcPr>
            <w:tcW w:w="1792" w:type="dxa"/>
            <w:vMerge w:val="restart"/>
            <w:tcBorders>
              <w:top w:val="single" w:sz="6" w:space="0" w:color="000000"/>
              <w:left w:val="single" w:sz="6"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科目编码</w:t>
            </w:r>
          </w:p>
        </w:tc>
        <w:tc>
          <w:tcPr>
            <w:tcW w:w="4307" w:type="dxa"/>
            <w:vMerge w:val="restart"/>
            <w:tcBorders>
              <w:top w:val="single" w:sz="6" w:space="0" w:color="000000"/>
              <w:left w:val="single" w:sz="6"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科目名称</w:t>
            </w:r>
          </w:p>
        </w:tc>
        <w:tc>
          <w:tcPr>
            <w:tcW w:w="1960" w:type="dxa"/>
            <w:vMerge w:val="restart"/>
            <w:tcBorders>
              <w:top w:val="single" w:sz="6" w:space="0" w:color="000000"/>
              <w:left w:val="single" w:sz="6"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合计</w:t>
            </w:r>
          </w:p>
        </w:tc>
        <w:tc>
          <w:tcPr>
            <w:tcW w:w="5507" w:type="dxa"/>
            <w:gridSpan w:val="3"/>
            <w:tcBorders>
              <w:top w:val="single" w:sz="6" w:space="0" w:color="000000"/>
              <w:left w:val="single" w:sz="6" w:space="0" w:color="000000"/>
              <w:bottom w:val="single" w:sz="6"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基本支出</w:t>
            </w:r>
          </w:p>
        </w:tc>
        <w:tc>
          <w:tcPr>
            <w:tcW w:w="1650" w:type="dxa"/>
            <w:vMerge w:val="restart"/>
            <w:tcBorders>
              <w:top w:val="single" w:sz="6" w:space="0" w:color="000000"/>
              <w:left w:val="single" w:sz="6" w:space="0" w:color="000000"/>
              <w:right w:val="single" w:sz="6"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项目支出</w:t>
            </w:r>
          </w:p>
        </w:tc>
      </w:tr>
      <w:tr w:rsidR="00BA3F0B">
        <w:trPr>
          <w:trHeight w:val="341"/>
        </w:trPr>
        <w:tc>
          <w:tcPr>
            <w:tcW w:w="1792" w:type="dxa"/>
            <w:vMerge/>
            <w:tcBorders>
              <w:left w:val="single" w:sz="6" w:space="0" w:color="000000"/>
              <w:bottom w:val="single" w:sz="6" w:space="0" w:color="000000"/>
            </w:tcBorders>
            <w:vAlign w:val="center"/>
          </w:tcPr>
          <w:p w:rsidR="00BA3F0B" w:rsidRDefault="00BA3F0B">
            <w:pPr>
              <w:pStyle w:val="TableParagraph"/>
              <w:jc w:val="center"/>
              <w:rPr>
                <w:rFonts w:ascii="仿宋" w:eastAsia="仿宋" w:hAnsi="仿宋" w:cs="仿宋"/>
              </w:rPr>
            </w:pPr>
          </w:p>
        </w:tc>
        <w:tc>
          <w:tcPr>
            <w:tcW w:w="4307" w:type="dxa"/>
            <w:vMerge/>
            <w:tcBorders>
              <w:left w:val="single" w:sz="6" w:space="0" w:color="000000"/>
              <w:bottom w:val="single" w:sz="6" w:space="0" w:color="000000"/>
            </w:tcBorders>
            <w:vAlign w:val="center"/>
          </w:tcPr>
          <w:p w:rsidR="00BA3F0B" w:rsidRDefault="00BA3F0B">
            <w:pPr>
              <w:pStyle w:val="TableParagraph"/>
              <w:jc w:val="center"/>
              <w:rPr>
                <w:rFonts w:ascii="仿宋" w:eastAsia="仿宋" w:hAnsi="仿宋" w:cs="仿宋"/>
              </w:rPr>
            </w:pPr>
          </w:p>
        </w:tc>
        <w:tc>
          <w:tcPr>
            <w:tcW w:w="1960" w:type="dxa"/>
            <w:vMerge/>
            <w:tcBorders>
              <w:left w:val="single" w:sz="6" w:space="0" w:color="000000"/>
              <w:bottom w:val="single" w:sz="6" w:space="0" w:color="000000"/>
            </w:tcBorders>
          </w:tcPr>
          <w:p w:rsidR="00BA3F0B" w:rsidRDefault="00BA3F0B">
            <w:pPr>
              <w:rPr>
                <w:rFonts w:ascii="仿宋" w:eastAsia="仿宋" w:hAnsi="仿宋" w:cs="仿宋"/>
              </w:rPr>
            </w:pPr>
          </w:p>
        </w:tc>
        <w:tc>
          <w:tcPr>
            <w:tcW w:w="1693" w:type="dxa"/>
            <w:tcBorders>
              <w:left w:val="single" w:sz="6" w:space="0" w:color="000000"/>
              <w:bottom w:val="single" w:sz="6" w:space="0" w:color="000000"/>
            </w:tcBorders>
            <w:vAlign w:val="center"/>
          </w:tcPr>
          <w:p w:rsidR="00BA3F0B" w:rsidRDefault="00827830">
            <w:pPr>
              <w:widowControl/>
              <w:jc w:val="center"/>
              <w:rPr>
                <w:rFonts w:ascii="仿宋" w:eastAsia="仿宋" w:hAnsi="仿宋" w:cs="仿宋"/>
                <w:lang w:val="en-US"/>
              </w:rPr>
            </w:pPr>
            <w:r>
              <w:rPr>
                <w:rFonts w:ascii="仿宋" w:eastAsia="仿宋" w:hAnsi="仿宋" w:cs="仿宋" w:hint="eastAsia"/>
                <w:lang w:val="en-US"/>
              </w:rPr>
              <w:t>小计</w:t>
            </w:r>
          </w:p>
        </w:tc>
        <w:tc>
          <w:tcPr>
            <w:tcW w:w="1987" w:type="dxa"/>
            <w:tcBorders>
              <w:left w:val="single" w:sz="6" w:space="0" w:color="000000"/>
              <w:bottom w:val="single" w:sz="6" w:space="0" w:color="000000"/>
            </w:tcBorders>
            <w:vAlign w:val="center"/>
          </w:tcPr>
          <w:p w:rsidR="00BA3F0B" w:rsidRDefault="00827830">
            <w:pPr>
              <w:widowControl/>
              <w:jc w:val="center"/>
              <w:rPr>
                <w:rFonts w:ascii="仿宋" w:eastAsia="仿宋" w:hAnsi="仿宋" w:cs="仿宋"/>
              </w:rPr>
            </w:pPr>
            <w:r>
              <w:rPr>
                <w:rFonts w:ascii="仿宋" w:eastAsia="仿宋" w:hAnsi="仿宋" w:cs="仿宋" w:hint="eastAsia"/>
                <w:lang w:val="en-US"/>
              </w:rPr>
              <w:t>人员经费</w:t>
            </w:r>
          </w:p>
        </w:tc>
        <w:tc>
          <w:tcPr>
            <w:tcW w:w="1827" w:type="dxa"/>
            <w:tcBorders>
              <w:left w:val="single" w:sz="6" w:space="0" w:color="000000"/>
              <w:bottom w:val="single" w:sz="6" w:space="0" w:color="000000"/>
            </w:tcBorders>
            <w:vAlign w:val="center"/>
          </w:tcPr>
          <w:p w:rsidR="00BA3F0B" w:rsidRDefault="00827830">
            <w:pPr>
              <w:widowControl/>
              <w:jc w:val="center"/>
              <w:rPr>
                <w:rFonts w:ascii="仿宋" w:eastAsia="仿宋" w:hAnsi="仿宋" w:cs="仿宋"/>
              </w:rPr>
            </w:pPr>
            <w:r>
              <w:rPr>
                <w:rFonts w:ascii="仿宋" w:eastAsia="仿宋" w:hAnsi="仿宋" w:cs="仿宋" w:hint="eastAsia"/>
                <w:lang w:val="en-US"/>
              </w:rPr>
              <w:t>公用经费</w:t>
            </w:r>
          </w:p>
        </w:tc>
        <w:tc>
          <w:tcPr>
            <w:tcW w:w="1650" w:type="dxa"/>
            <w:vMerge/>
            <w:tcBorders>
              <w:left w:val="single" w:sz="6" w:space="0" w:color="000000"/>
              <w:bottom w:val="single" w:sz="6" w:space="0" w:color="000000"/>
              <w:right w:val="single" w:sz="6" w:space="0" w:color="000000"/>
            </w:tcBorders>
          </w:tcPr>
          <w:p w:rsidR="00BA3F0B" w:rsidRDefault="00BA3F0B">
            <w:pPr>
              <w:rPr>
                <w:rFonts w:ascii="仿宋" w:eastAsia="仿宋" w:hAnsi="仿宋" w:cs="仿宋"/>
              </w:rPr>
            </w:pPr>
          </w:p>
        </w:tc>
      </w:tr>
      <w:tr w:rsidR="00BA3F0B">
        <w:trPr>
          <w:trHeight w:hRule="exact" w:val="378"/>
        </w:trPr>
        <w:tc>
          <w:tcPr>
            <w:tcW w:w="6099" w:type="dxa"/>
            <w:gridSpan w:val="2"/>
            <w:tcBorders>
              <w:left w:val="single" w:sz="6" w:space="0" w:color="000000"/>
              <w:bottom w:val="single" w:sz="6"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合计</w:t>
            </w:r>
          </w:p>
        </w:tc>
        <w:tc>
          <w:tcPr>
            <w:tcW w:w="1960" w:type="dxa"/>
            <w:tcBorders>
              <w:left w:val="single" w:sz="6" w:space="0" w:color="000000"/>
              <w:bottom w:val="single" w:sz="6"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45,053.98</w:t>
            </w:r>
          </w:p>
        </w:tc>
        <w:tc>
          <w:tcPr>
            <w:tcW w:w="1693" w:type="dxa"/>
            <w:tcBorders>
              <w:left w:val="single" w:sz="6" w:space="0" w:color="000000"/>
              <w:bottom w:val="single" w:sz="6"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8,874.88</w:t>
            </w:r>
          </w:p>
        </w:tc>
        <w:tc>
          <w:tcPr>
            <w:tcW w:w="1987" w:type="dxa"/>
            <w:tcBorders>
              <w:left w:val="single" w:sz="6" w:space="0" w:color="000000"/>
              <w:bottom w:val="single" w:sz="6"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8,454.48</w:t>
            </w:r>
          </w:p>
        </w:tc>
        <w:tc>
          <w:tcPr>
            <w:tcW w:w="1827" w:type="dxa"/>
            <w:tcBorders>
              <w:left w:val="single" w:sz="6" w:space="0" w:color="000000"/>
              <w:bottom w:val="single" w:sz="6"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420.40</w:t>
            </w:r>
          </w:p>
        </w:tc>
        <w:tc>
          <w:tcPr>
            <w:tcW w:w="1650" w:type="dxa"/>
            <w:tcBorders>
              <w:left w:val="single" w:sz="6" w:space="0" w:color="000000"/>
              <w:bottom w:val="single" w:sz="6" w:space="0" w:color="000000"/>
              <w:right w:val="single" w:sz="6" w:space="0" w:color="000000"/>
            </w:tcBorders>
          </w:tcPr>
          <w:p w:rsidR="00BA3F0B" w:rsidRDefault="00827830">
            <w:pPr>
              <w:pStyle w:val="TableParagraph"/>
              <w:jc w:val="right"/>
              <w:rPr>
                <w:rFonts w:ascii="仿宋" w:eastAsia="仿宋" w:hAnsi="仿宋" w:cs="仿宋"/>
              </w:rPr>
            </w:pPr>
            <w:r>
              <w:rPr>
                <w:rFonts w:ascii="仿宋" w:eastAsia="仿宋" w:hAnsi="仿宋" w:cs="仿宋" w:hint="eastAsia"/>
              </w:rPr>
              <w:t>36,179.10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208</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社会保障和就业支出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943.19</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943.19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943.19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20805</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行政事业单位养老支出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943.19</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943.19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943.19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2080505</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机关事业单位基本养老保险缴费支出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628.79</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628.79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628.79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2080506</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机关事业单位职业年金缴费支出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314.40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314.40</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314.40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210</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卫生健康支出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277.00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277.00</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277.00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21011</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行政事业单位医疗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277.00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277.00</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277.00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2101101</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行政单位医疗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149.38</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149.38</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149.38</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2101102</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事业单位医疗</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127.62</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127.62</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127.62</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212</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城乡社区支出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29,315.40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29,315.40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21201</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城乡社区管理事务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28,825.00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28,825.00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2120199</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其他城乡社区管理事务支出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28,825.00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28,825.00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21202</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城乡社区规划与管理</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390.40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390.40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2120201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城乡社区规划与管理</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390.40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390.40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21299</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其他城乡社区支出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100.00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100.00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2129999</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其他城乡社区支出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100.00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100.00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213</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农林水支出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313.11</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257.39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237.78</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w:t>
            </w: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55.72</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21302</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林业和草原</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313.11</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257.39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237.78</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w:t>
            </w: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55.72</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2130204</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事业机构</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257.39</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257.39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237.78</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w:t>
            </w: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2130299</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其他林业和草原支出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55.72</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55.72</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220</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自然资源海洋气象等支出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9,568.87</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5,435.89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5,035.10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400.79</w:t>
            </w: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4,132.98</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22001</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自然资源事务</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9,568.87</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5,435.89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5,035.10</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400.79</w:t>
            </w: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4,132.98</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2200101</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行政运行</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2,901.68</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2,843.18</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2,588.06</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255.12</w:t>
            </w: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58.50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2200108</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自然资源行业业务管理</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3,178.66</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3,178.66</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2200199</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其他自然资源事务支出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3,488.53</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2,592.71</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2,447.04</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145.67</w:t>
            </w: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895.82</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221</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住房保障支出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1,961.41</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1,961.41</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1,961.41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22102</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住房改革支出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1,961.41</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1,961.41</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1,961.41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2210201</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住房公积金</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623.81</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623.81</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623.81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2210202</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提租补贴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514.91</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514.91</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514.91</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2210203</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购房补贴</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822.69</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822.69</w:t>
            </w: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822.69</w:t>
            </w: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224</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灾害防治及应急管理支出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2,675.00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22499</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其他灾害防治及应急管理支出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2,675.00</w:t>
            </w:r>
          </w:p>
        </w:tc>
      </w:tr>
      <w:tr w:rsidR="00BA3F0B">
        <w:trPr>
          <w:cantSplit/>
          <w:trHeight w:val="90"/>
        </w:trPr>
        <w:tc>
          <w:tcPr>
            <w:tcW w:w="1792" w:type="dxa"/>
            <w:tcBorders>
              <w:top w:val="single" w:sz="6" w:space="0" w:color="000000"/>
              <w:left w:val="single" w:sz="6"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2249999</w:t>
            </w:r>
          </w:p>
        </w:tc>
        <w:tc>
          <w:tcPr>
            <w:tcW w:w="4307"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其他灾害防治及应急管理支出</w:t>
            </w:r>
          </w:p>
        </w:tc>
        <w:tc>
          <w:tcPr>
            <w:tcW w:w="1960" w:type="dxa"/>
            <w:tcBorders>
              <w:top w:val="single" w:sz="6" w:space="0" w:color="000000"/>
              <w:left w:val="single" w:sz="4" w:space="0" w:color="000000"/>
              <w:bottom w:val="single" w:sz="6"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2,675.00</w:t>
            </w:r>
          </w:p>
        </w:tc>
        <w:tc>
          <w:tcPr>
            <w:tcW w:w="1693"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98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827" w:type="dxa"/>
            <w:tcBorders>
              <w:top w:val="single" w:sz="6" w:space="0" w:color="000000"/>
              <w:left w:val="single" w:sz="4" w:space="0" w:color="000000"/>
              <w:bottom w:val="single" w:sz="6"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50" w:type="dxa"/>
            <w:tcBorders>
              <w:top w:val="single" w:sz="6" w:space="0" w:color="000000"/>
              <w:left w:val="single" w:sz="4" w:space="0" w:color="000000"/>
              <w:bottom w:val="single" w:sz="6" w:space="0" w:color="000000"/>
              <w:right w:val="single" w:sz="6"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2,675.00</w:t>
            </w:r>
          </w:p>
        </w:tc>
      </w:tr>
    </w:tbl>
    <w:p w:rsidR="00BA3F0B" w:rsidRDefault="00BA3F0B">
      <w:pPr>
        <w:spacing w:before="25"/>
        <w:rPr>
          <w:rFonts w:ascii="仿宋" w:eastAsia="仿宋" w:hAnsi="仿宋" w:cs="仿宋"/>
          <w:b/>
          <w:bCs/>
        </w:rPr>
        <w:sectPr w:rsidR="00BA3F0B">
          <w:footerReference w:type="default" r:id="rId18"/>
          <w:pgSz w:w="16838" w:h="11906" w:orient="landscape"/>
          <w:pgMar w:top="720" w:right="720" w:bottom="720" w:left="720" w:header="170" w:footer="280" w:gutter="0"/>
          <w:pgNumType w:fmt="numberInDash"/>
          <w:cols w:space="720"/>
          <w:formProt w:val="0"/>
          <w:docGrid w:linePitch="100"/>
        </w:sectPr>
      </w:pPr>
    </w:p>
    <w:tbl>
      <w:tblPr>
        <w:tblW w:w="10954" w:type="dxa"/>
        <w:tblInd w:w="-206" w:type="dxa"/>
        <w:tblLayout w:type="fixed"/>
        <w:tblCellMar>
          <w:top w:w="55" w:type="dxa"/>
          <w:left w:w="55" w:type="dxa"/>
          <w:bottom w:w="55" w:type="dxa"/>
          <w:right w:w="55" w:type="dxa"/>
        </w:tblCellMar>
        <w:tblLook w:val="04A0" w:firstRow="1" w:lastRow="0" w:firstColumn="1" w:lastColumn="0" w:noHBand="0" w:noVBand="1"/>
      </w:tblPr>
      <w:tblGrid>
        <w:gridCol w:w="1227"/>
        <w:gridCol w:w="3667"/>
        <w:gridCol w:w="2413"/>
        <w:gridCol w:w="1974"/>
        <w:gridCol w:w="1673"/>
      </w:tblGrid>
      <w:tr w:rsidR="00BA3F0B">
        <w:trPr>
          <w:trHeight w:val="319"/>
        </w:trPr>
        <w:tc>
          <w:tcPr>
            <w:tcW w:w="10954" w:type="dxa"/>
            <w:gridSpan w:val="5"/>
          </w:tcPr>
          <w:p w:rsidR="00BA3F0B" w:rsidRDefault="00827830">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08</w:t>
            </w:r>
            <w:r>
              <w:rPr>
                <w:rFonts w:ascii="仿宋" w:eastAsia="仿宋" w:hAnsi="仿宋" w:cs="仿宋" w:hint="eastAsia"/>
              </w:rPr>
              <w:t>表</w:t>
            </w:r>
          </w:p>
        </w:tc>
      </w:tr>
      <w:tr w:rsidR="00BA3F0B">
        <w:trPr>
          <w:trHeight w:val="189"/>
        </w:trPr>
        <w:tc>
          <w:tcPr>
            <w:tcW w:w="10954" w:type="dxa"/>
            <w:gridSpan w:val="5"/>
          </w:tcPr>
          <w:p w:rsidR="00BA3F0B" w:rsidRDefault="00827830">
            <w:pPr>
              <w:pStyle w:val="TableParagraph"/>
              <w:jc w:val="center"/>
              <w:rPr>
                <w:rFonts w:ascii="仿宋" w:eastAsia="仿宋" w:hAnsi="仿宋" w:cs="仿宋"/>
                <w:sz w:val="20"/>
              </w:rPr>
            </w:pPr>
            <w:r>
              <w:rPr>
                <w:rFonts w:ascii="仿宋" w:eastAsia="仿宋" w:hAnsi="仿宋" w:cs="仿宋" w:hint="eastAsia"/>
                <w:b/>
                <w:bCs/>
                <w:sz w:val="44"/>
                <w:szCs w:val="44"/>
              </w:rPr>
              <w:t>一般公共预算基本支出表</w:t>
            </w:r>
          </w:p>
        </w:tc>
      </w:tr>
      <w:tr w:rsidR="00BA3F0B">
        <w:trPr>
          <w:trHeight w:val="138"/>
        </w:trPr>
        <w:tc>
          <w:tcPr>
            <w:tcW w:w="9281" w:type="dxa"/>
            <w:gridSpan w:val="4"/>
            <w:vAlign w:val="center"/>
          </w:tcPr>
          <w:p w:rsidR="00BA3F0B" w:rsidRDefault="0082783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1673" w:type="dxa"/>
            <w:vAlign w:val="center"/>
          </w:tcPr>
          <w:p w:rsidR="00BA3F0B" w:rsidRDefault="00827830">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BA3F0B">
        <w:trPr>
          <w:trHeight w:val="180"/>
        </w:trPr>
        <w:tc>
          <w:tcPr>
            <w:tcW w:w="4894" w:type="dxa"/>
            <w:gridSpan w:val="2"/>
            <w:tcBorders>
              <w:top w:val="single" w:sz="4" w:space="0" w:color="000000"/>
              <w:left w:val="single" w:sz="4" w:space="0" w:color="000000"/>
              <w:bottom w:val="single" w:sz="4" w:space="0" w:color="000000"/>
            </w:tcBorders>
            <w:vAlign w:val="center"/>
          </w:tcPr>
          <w:p w:rsidR="00BA3F0B" w:rsidRDefault="00827830">
            <w:pPr>
              <w:jc w:val="center"/>
              <w:rPr>
                <w:rFonts w:ascii="仿宋" w:eastAsia="仿宋" w:hAnsi="仿宋" w:cs="仿宋"/>
              </w:rPr>
            </w:pPr>
            <w:r>
              <w:rPr>
                <w:rFonts w:ascii="仿宋" w:eastAsia="仿宋" w:hAnsi="仿宋" w:cs="仿宋" w:hint="eastAsia"/>
              </w:rPr>
              <w:t>部门预算支出经济分类科目</w:t>
            </w:r>
          </w:p>
        </w:tc>
        <w:tc>
          <w:tcPr>
            <w:tcW w:w="6060" w:type="dxa"/>
            <w:gridSpan w:val="3"/>
            <w:tcBorders>
              <w:top w:val="single" w:sz="4" w:space="0" w:color="000000"/>
              <w:left w:val="single" w:sz="4" w:space="0" w:color="000000"/>
              <w:bottom w:val="single" w:sz="4" w:space="0" w:color="000000"/>
              <w:right w:val="single" w:sz="4" w:space="0" w:color="000000"/>
            </w:tcBorders>
            <w:vAlign w:val="center"/>
          </w:tcPr>
          <w:p w:rsidR="00BA3F0B" w:rsidRDefault="00827830">
            <w:pPr>
              <w:jc w:val="center"/>
              <w:rPr>
                <w:rFonts w:ascii="仿宋" w:eastAsia="仿宋" w:hAnsi="仿宋" w:cs="仿宋"/>
              </w:rPr>
            </w:pPr>
            <w:r>
              <w:rPr>
                <w:rFonts w:ascii="仿宋" w:eastAsia="仿宋" w:hAnsi="仿宋" w:cs="仿宋" w:hint="eastAsia"/>
              </w:rPr>
              <w:t>本年一般公共预算基本支出</w:t>
            </w:r>
          </w:p>
        </w:tc>
      </w:tr>
      <w:tr w:rsidR="00BA3F0B">
        <w:trPr>
          <w:trHeight w:val="190"/>
        </w:trPr>
        <w:tc>
          <w:tcPr>
            <w:tcW w:w="1227"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科目编码</w:t>
            </w:r>
          </w:p>
        </w:tc>
        <w:tc>
          <w:tcPr>
            <w:tcW w:w="3667"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科目名称</w:t>
            </w:r>
          </w:p>
        </w:tc>
        <w:tc>
          <w:tcPr>
            <w:tcW w:w="2413"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合计</w:t>
            </w:r>
          </w:p>
        </w:tc>
        <w:tc>
          <w:tcPr>
            <w:tcW w:w="1974" w:type="dxa"/>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人员经费</w:t>
            </w:r>
          </w:p>
        </w:tc>
        <w:tc>
          <w:tcPr>
            <w:tcW w:w="1673" w:type="dxa"/>
            <w:tcBorders>
              <w:left w:val="single" w:sz="4" w:space="0" w:color="000000"/>
              <w:bottom w:val="single" w:sz="4" w:space="0" w:color="000000"/>
              <w:right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公用经费</w:t>
            </w:r>
          </w:p>
        </w:tc>
      </w:tr>
      <w:tr w:rsidR="00BA3F0B">
        <w:trPr>
          <w:trHeight w:hRule="exact" w:val="382"/>
        </w:trPr>
        <w:tc>
          <w:tcPr>
            <w:tcW w:w="4894" w:type="dxa"/>
            <w:gridSpan w:val="2"/>
            <w:tcBorders>
              <w:left w:val="single" w:sz="4" w:space="0" w:color="000000"/>
              <w:bottom w:val="single" w:sz="4" w:space="0" w:color="000000"/>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合计</w:t>
            </w:r>
          </w:p>
        </w:tc>
        <w:tc>
          <w:tcPr>
            <w:tcW w:w="2413" w:type="dxa"/>
            <w:tcBorders>
              <w:left w:val="single" w:sz="4" w:space="0" w:color="000000"/>
              <w:bottom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8,874.88</w:t>
            </w:r>
          </w:p>
        </w:tc>
        <w:tc>
          <w:tcPr>
            <w:tcW w:w="1974" w:type="dxa"/>
            <w:tcBorders>
              <w:left w:val="single" w:sz="4" w:space="0" w:color="000000"/>
              <w:bottom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8,454.48</w:t>
            </w:r>
          </w:p>
        </w:tc>
        <w:tc>
          <w:tcPr>
            <w:tcW w:w="1673" w:type="dxa"/>
            <w:tcBorders>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420.40</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301</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7,754.84</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7,754.84</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30101</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基本工资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1,184.94</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1,184.94</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30102</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津贴补贴</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2,394.10</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2,394.10</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30103</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奖金</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1,178.47</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1,178.47</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30107</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绩效工资</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854.81</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854.81</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30108</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机关事业单位基本养老保险缴费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628.79</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628.79</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30109</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职业年金缴费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314.40</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314.40</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30110</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职工基本医疗保险缴费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275.11</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275.11</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30112</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其他社会保障缴费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63.53</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63.53</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30113</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住房公积金</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623.81</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623.81</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30114</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医疗费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35.28</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35.28</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30199</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其他工资福利支出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201.60</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201.60</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302</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420.40</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420.40</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30201</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办公费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176.88</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176.88</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30215</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会议费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1.30</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1.30</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30216</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培训费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1.94</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1.94</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30217</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公务接待费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3.43</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3.43</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30228</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工会经费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93.31</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93.31</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30231</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公务用车运行维护费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18.05</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18.05</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30239</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其他交通费用</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91.86</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91.86</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30299</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其他商品和服务支出</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33.63</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33.63</w:t>
            </w: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303</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699.64</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699.64</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30302</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退休费</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698.52</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698.52</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30309</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奖励金</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0.16</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0.16</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r w:rsidR="00BA3F0B">
        <w:trPr>
          <w:cantSplit/>
          <w:trHeight w:val="208"/>
        </w:trPr>
        <w:tc>
          <w:tcPr>
            <w:tcW w:w="122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 xml:space="preserve">  30399</w:t>
            </w:r>
          </w:p>
        </w:tc>
        <w:tc>
          <w:tcPr>
            <w:tcW w:w="3667"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rPr>
                <w:rFonts w:ascii="仿宋" w:eastAsia="仿宋" w:hAnsi="仿宋" w:cs="仿宋"/>
              </w:rPr>
            </w:pPr>
            <w:r>
              <w:rPr>
                <w:rFonts w:ascii="仿宋" w:eastAsia="仿宋" w:hAnsi="仿宋" w:cs="仿宋" w:hint="eastAsia"/>
              </w:rPr>
              <w:t>其他对个人和家庭的补助</w:t>
            </w:r>
          </w:p>
        </w:tc>
        <w:tc>
          <w:tcPr>
            <w:tcW w:w="2413"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0.96</w:t>
            </w:r>
          </w:p>
        </w:tc>
        <w:tc>
          <w:tcPr>
            <w:tcW w:w="1974" w:type="dxa"/>
            <w:tcBorders>
              <w:top w:val="single" w:sz="4" w:space="0" w:color="000000"/>
              <w:left w:val="single" w:sz="4" w:space="0" w:color="000000"/>
              <w:bottom w:val="single" w:sz="4" w:space="0" w:color="000000"/>
              <w:right w:val="single" w:sz="4" w:space="0" w:color="000000"/>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0.96</w:t>
            </w:r>
          </w:p>
        </w:tc>
        <w:tc>
          <w:tcPr>
            <w:tcW w:w="1673" w:type="dxa"/>
            <w:tcBorders>
              <w:top w:val="single" w:sz="4" w:space="0" w:color="000000"/>
              <w:left w:val="single" w:sz="4" w:space="0" w:color="000000"/>
              <w:bottom w:val="single" w:sz="4" w:space="0" w:color="000000"/>
              <w:right w:val="single" w:sz="4" w:space="0" w:color="000000"/>
            </w:tcBorders>
            <w:vAlign w:val="center"/>
          </w:tcPr>
          <w:p w:rsidR="00BA3F0B" w:rsidRDefault="00BA3F0B">
            <w:pPr>
              <w:pStyle w:val="TableParagraph"/>
              <w:jc w:val="right"/>
              <w:rPr>
                <w:rFonts w:ascii="仿宋" w:eastAsia="仿宋" w:hAnsi="仿宋" w:cs="仿宋"/>
              </w:rPr>
            </w:pPr>
          </w:p>
        </w:tc>
      </w:tr>
    </w:tbl>
    <w:p w:rsidR="00BA3F0B" w:rsidRDefault="00BA3F0B">
      <w:pPr>
        <w:spacing w:before="25"/>
        <w:rPr>
          <w:rFonts w:ascii="仿宋" w:eastAsia="仿宋" w:hAnsi="仿宋" w:cs="仿宋"/>
          <w:b/>
          <w:bCs/>
        </w:rPr>
        <w:sectPr w:rsidR="00BA3F0B">
          <w:footerReference w:type="default" r:id="rId19"/>
          <w:pgSz w:w="11906" w:h="16838"/>
          <w:pgMar w:top="720" w:right="720" w:bottom="720" w:left="720" w:header="170" w:footer="280" w:gutter="0"/>
          <w:pgNumType w:fmt="numberInDash"/>
          <w:cols w:space="720"/>
          <w:formProt w:val="0"/>
          <w:docGrid w:linePitch="100"/>
        </w:sectPr>
      </w:pPr>
    </w:p>
    <w:tbl>
      <w:tblPr>
        <w:tblW w:w="15909" w:type="dxa"/>
        <w:tblInd w:w="-226" w:type="dxa"/>
        <w:tblLayout w:type="fixed"/>
        <w:tblCellMar>
          <w:top w:w="55" w:type="dxa"/>
          <w:left w:w="55" w:type="dxa"/>
          <w:bottom w:w="55" w:type="dxa"/>
          <w:right w:w="55" w:type="dxa"/>
        </w:tblCellMar>
        <w:tblLook w:val="04A0" w:firstRow="1" w:lastRow="0" w:firstColumn="1" w:lastColumn="0" w:noHBand="0" w:noVBand="1"/>
      </w:tblPr>
      <w:tblGrid>
        <w:gridCol w:w="2471"/>
        <w:gridCol w:w="2332"/>
        <w:gridCol w:w="2037"/>
        <w:gridCol w:w="1697"/>
        <w:gridCol w:w="1680"/>
        <w:gridCol w:w="1852"/>
        <w:gridCol w:w="2057"/>
        <w:gridCol w:w="1783"/>
      </w:tblGrid>
      <w:tr w:rsidR="00BA3F0B">
        <w:trPr>
          <w:trHeight w:val="321"/>
        </w:trPr>
        <w:tc>
          <w:tcPr>
            <w:tcW w:w="15909" w:type="dxa"/>
            <w:gridSpan w:val="8"/>
          </w:tcPr>
          <w:p w:rsidR="00BA3F0B" w:rsidRDefault="00827830">
            <w:pPr>
              <w:pStyle w:val="TableParagraph"/>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09</w:t>
            </w:r>
            <w:r>
              <w:rPr>
                <w:rFonts w:ascii="仿宋" w:eastAsia="仿宋" w:hAnsi="仿宋" w:cs="仿宋" w:hint="eastAsia"/>
              </w:rPr>
              <w:t>表</w:t>
            </w:r>
          </w:p>
        </w:tc>
      </w:tr>
      <w:tr w:rsidR="00BA3F0B">
        <w:trPr>
          <w:trHeight w:val="207"/>
        </w:trPr>
        <w:tc>
          <w:tcPr>
            <w:tcW w:w="15909" w:type="dxa"/>
            <w:gridSpan w:val="8"/>
          </w:tcPr>
          <w:p w:rsidR="00BA3F0B" w:rsidRDefault="00827830">
            <w:pPr>
              <w:pStyle w:val="TableParagraph"/>
              <w:jc w:val="center"/>
              <w:rPr>
                <w:rFonts w:ascii="仿宋" w:eastAsia="仿宋" w:hAnsi="仿宋" w:cs="仿宋"/>
                <w:sz w:val="20"/>
              </w:rPr>
            </w:pPr>
            <w:r>
              <w:rPr>
                <w:rFonts w:ascii="仿宋" w:eastAsia="仿宋" w:hAnsi="仿宋" w:cs="仿宋" w:hint="eastAsia"/>
                <w:b/>
                <w:bCs/>
                <w:sz w:val="44"/>
                <w:szCs w:val="44"/>
              </w:rPr>
              <w:t>一般公共预算“三公”经费、会议费、培训费支出表</w:t>
            </w:r>
          </w:p>
        </w:tc>
      </w:tr>
      <w:tr w:rsidR="00BA3F0B">
        <w:trPr>
          <w:trHeight w:val="103"/>
        </w:trPr>
        <w:tc>
          <w:tcPr>
            <w:tcW w:w="12069" w:type="dxa"/>
            <w:gridSpan w:val="6"/>
            <w:tcBorders>
              <w:bottom w:val="single" w:sz="4" w:space="0" w:color="auto"/>
            </w:tcBorders>
          </w:tcPr>
          <w:p w:rsidR="00BA3F0B" w:rsidRDefault="0082783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3840" w:type="dxa"/>
            <w:gridSpan w:val="2"/>
            <w:tcBorders>
              <w:bottom w:val="single" w:sz="4" w:space="0" w:color="auto"/>
            </w:tcBorders>
            <w:vAlign w:val="center"/>
          </w:tcPr>
          <w:p w:rsidR="00BA3F0B" w:rsidRDefault="00827830">
            <w:pPr>
              <w:pStyle w:val="TableParagraph"/>
              <w:jc w:val="right"/>
              <w:rPr>
                <w:rFonts w:ascii="仿宋" w:eastAsia="仿宋" w:hAnsi="仿宋" w:cs="仿宋"/>
                <w:sz w:val="20"/>
              </w:rPr>
            </w:pPr>
            <w:r>
              <w:rPr>
                <w:rFonts w:ascii="仿宋" w:eastAsia="仿宋" w:hAnsi="仿宋" w:cs="仿宋" w:hint="eastAsia"/>
              </w:rPr>
              <w:t>单位</w:t>
            </w:r>
            <w:r>
              <w:rPr>
                <w:rFonts w:ascii="仿宋" w:eastAsia="仿宋" w:hAnsi="仿宋" w:cs="仿宋" w:hint="eastAsia"/>
              </w:rPr>
              <w:t>：万元</w:t>
            </w:r>
          </w:p>
        </w:tc>
      </w:tr>
      <w:tr w:rsidR="00BA3F0B">
        <w:trPr>
          <w:trHeight w:val="297"/>
        </w:trPr>
        <w:tc>
          <w:tcPr>
            <w:tcW w:w="2471" w:type="dxa"/>
            <w:vMerge w:val="restart"/>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“三公”经费合计</w:t>
            </w:r>
          </w:p>
        </w:tc>
        <w:tc>
          <w:tcPr>
            <w:tcW w:w="2332" w:type="dxa"/>
            <w:vMerge w:val="restart"/>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因公出国（境）费</w:t>
            </w:r>
          </w:p>
        </w:tc>
        <w:tc>
          <w:tcPr>
            <w:tcW w:w="5414" w:type="dxa"/>
            <w:gridSpan w:val="3"/>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公务用车购置及运行</w:t>
            </w:r>
            <w:r>
              <w:rPr>
                <w:rFonts w:ascii="仿宋" w:eastAsia="仿宋" w:hAnsi="仿宋" w:cs="仿宋" w:hint="eastAsia"/>
                <w:lang w:val="en-US"/>
              </w:rPr>
              <w:t>维护</w:t>
            </w:r>
            <w:r>
              <w:rPr>
                <w:rFonts w:ascii="仿宋" w:eastAsia="仿宋" w:hAnsi="仿宋" w:cs="仿宋" w:hint="eastAsia"/>
              </w:rPr>
              <w:t>费</w:t>
            </w:r>
          </w:p>
        </w:tc>
        <w:tc>
          <w:tcPr>
            <w:tcW w:w="1852" w:type="dxa"/>
            <w:vMerge w:val="restart"/>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公务接待费</w:t>
            </w:r>
          </w:p>
        </w:tc>
        <w:tc>
          <w:tcPr>
            <w:tcW w:w="2057" w:type="dxa"/>
            <w:vMerge w:val="restart"/>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sz w:val="20"/>
              </w:rPr>
            </w:pPr>
            <w:r>
              <w:rPr>
                <w:rFonts w:ascii="仿宋" w:eastAsia="仿宋" w:hAnsi="仿宋" w:cs="仿宋" w:hint="eastAsia"/>
              </w:rPr>
              <w:t>会议费</w:t>
            </w:r>
          </w:p>
        </w:tc>
        <w:tc>
          <w:tcPr>
            <w:tcW w:w="1783" w:type="dxa"/>
            <w:vMerge w:val="restart"/>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sz w:val="20"/>
              </w:rPr>
            </w:pPr>
            <w:r>
              <w:rPr>
                <w:rFonts w:ascii="仿宋" w:eastAsia="仿宋" w:hAnsi="仿宋" w:cs="仿宋" w:hint="eastAsia"/>
              </w:rPr>
              <w:t>培训费</w:t>
            </w:r>
          </w:p>
        </w:tc>
      </w:tr>
      <w:tr w:rsidR="00BA3F0B">
        <w:trPr>
          <w:trHeight w:hRule="exact" w:val="728"/>
        </w:trPr>
        <w:tc>
          <w:tcPr>
            <w:tcW w:w="2471" w:type="dxa"/>
            <w:vMerge/>
            <w:tcBorders>
              <w:top w:val="single" w:sz="4" w:space="0" w:color="auto"/>
              <w:left w:val="single" w:sz="4" w:space="0" w:color="auto"/>
              <w:bottom w:val="single" w:sz="4" w:space="0" w:color="auto"/>
              <w:right w:val="single" w:sz="4" w:space="0" w:color="auto"/>
            </w:tcBorders>
          </w:tcPr>
          <w:p w:rsidR="00BA3F0B" w:rsidRDefault="00BA3F0B">
            <w:pPr>
              <w:rPr>
                <w:rFonts w:ascii="仿宋" w:eastAsia="仿宋" w:hAnsi="仿宋" w:cs="仿宋"/>
                <w:sz w:val="2"/>
                <w:szCs w:val="2"/>
              </w:rPr>
            </w:pPr>
          </w:p>
        </w:tc>
        <w:tc>
          <w:tcPr>
            <w:tcW w:w="2332" w:type="dxa"/>
            <w:vMerge/>
            <w:tcBorders>
              <w:top w:val="single" w:sz="4" w:space="0" w:color="auto"/>
              <w:left w:val="single" w:sz="4" w:space="0" w:color="auto"/>
              <w:bottom w:val="single" w:sz="4" w:space="0" w:color="auto"/>
              <w:right w:val="single" w:sz="4" w:space="0" w:color="auto"/>
            </w:tcBorders>
          </w:tcPr>
          <w:p w:rsidR="00BA3F0B" w:rsidRDefault="00BA3F0B">
            <w:pPr>
              <w:rPr>
                <w:rFonts w:ascii="仿宋" w:eastAsia="仿宋" w:hAnsi="仿宋" w:cs="仿宋"/>
                <w:sz w:val="2"/>
                <w:szCs w:val="2"/>
              </w:rPr>
            </w:pPr>
          </w:p>
        </w:tc>
        <w:tc>
          <w:tcPr>
            <w:tcW w:w="2037"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rPr>
              <w:t>小计</w:t>
            </w:r>
          </w:p>
        </w:tc>
        <w:tc>
          <w:tcPr>
            <w:tcW w:w="1697"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公务用车购置费</w:t>
            </w:r>
          </w:p>
        </w:tc>
        <w:tc>
          <w:tcPr>
            <w:tcW w:w="1680"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公务用车运行</w:t>
            </w:r>
            <w:r>
              <w:rPr>
                <w:rFonts w:ascii="仿宋" w:eastAsia="仿宋" w:hAnsi="仿宋" w:cs="仿宋" w:hint="eastAsia"/>
                <w:lang w:val="en-US"/>
              </w:rPr>
              <w:t>维护</w:t>
            </w:r>
            <w:r>
              <w:rPr>
                <w:rFonts w:ascii="仿宋" w:eastAsia="仿宋" w:hAnsi="仿宋" w:cs="仿宋" w:hint="eastAsia"/>
              </w:rPr>
              <w:t>费</w:t>
            </w:r>
          </w:p>
        </w:tc>
        <w:tc>
          <w:tcPr>
            <w:tcW w:w="1852" w:type="dxa"/>
            <w:vMerge/>
            <w:tcBorders>
              <w:top w:val="single" w:sz="4" w:space="0" w:color="auto"/>
              <w:left w:val="single" w:sz="4" w:space="0" w:color="auto"/>
              <w:bottom w:val="single" w:sz="4" w:space="0" w:color="auto"/>
              <w:right w:val="single" w:sz="4" w:space="0" w:color="auto"/>
            </w:tcBorders>
          </w:tcPr>
          <w:p w:rsidR="00BA3F0B" w:rsidRDefault="00BA3F0B">
            <w:pPr>
              <w:rPr>
                <w:rFonts w:ascii="仿宋" w:eastAsia="仿宋" w:hAnsi="仿宋" w:cs="仿宋"/>
                <w:sz w:val="2"/>
                <w:szCs w:val="2"/>
              </w:rPr>
            </w:pPr>
          </w:p>
        </w:tc>
        <w:tc>
          <w:tcPr>
            <w:tcW w:w="2057" w:type="dxa"/>
            <w:vMerge/>
            <w:tcBorders>
              <w:top w:val="single" w:sz="4" w:space="0" w:color="auto"/>
              <w:left w:val="single" w:sz="4" w:space="0" w:color="auto"/>
              <w:bottom w:val="single" w:sz="4" w:space="0" w:color="auto"/>
              <w:right w:val="single" w:sz="4" w:space="0" w:color="auto"/>
            </w:tcBorders>
          </w:tcPr>
          <w:p w:rsidR="00BA3F0B" w:rsidRDefault="00BA3F0B">
            <w:pPr>
              <w:rPr>
                <w:rFonts w:ascii="仿宋" w:eastAsia="仿宋" w:hAnsi="仿宋" w:cs="仿宋"/>
                <w:sz w:val="2"/>
                <w:szCs w:val="2"/>
              </w:rPr>
            </w:pPr>
          </w:p>
        </w:tc>
        <w:tc>
          <w:tcPr>
            <w:tcW w:w="1783" w:type="dxa"/>
            <w:vMerge/>
            <w:tcBorders>
              <w:top w:val="single" w:sz="4" w:space="0" w:color="auto"/>
              <w:left w:val="single" w:sz="4" w:space="0" w:color="auto"/>
              <w:bottom w:val="single" w:sz="4" w:space="0" w:color="auto"/>
              <w:right w:val="single" w:sz="4" w:space="0" w:color="auto"/>
            </w:tcBorders>
          </w:tcPr>
          <w:p w:rsidR="00BA3F0B" w:rsidRDefault="00BA3F0B">
            <w:pPr>
              <w:rPr>
                <w:rFonts w:ascii="仿宋" w:eastAsia="仿宋" w:hAnsi="仿宋" w:cs="仿宋"/>
                <w:sz w:val="2"/>
                <w:szCs w:val="2"/>
              </w:rPr>
            </w:pPr>
          </w:p>
        </w:tc>
      </w:tr>
      <w:tr w:rsidR="00BA3F0B">
        <w:trPr>
          <w:cantSplit/>
          <w:trHeight w:val="165"/>
        </w:trPr>
        <w:tc>
          <w:tcPr>
            <w:tcW w:w="2471"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39.48</w:t>
            </w:r>
          </w:p>
        </w:tc>
        <w:tc>
          <w:tcPr>
            <w:tcW w:w="2332"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0.00</w:t>
            </w:r>
          </w:p>
        </w:tc>
        <w:tc>
          <w:tcPr>
            <w:tcW w:w="2037"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36.05</w:t>
            </w:r>
          </w:p>
        </w:tc>
        <w:tc>
          <w:tcPr>
            <w:tcW w:w="1697"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18.00</w:t>
            </w:r>
          </w:p>
        </w:tc>
        <w:tc>
          <w:tcPr>
            <w:tcW w:w="1680"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18.05</w:t>
            </w:r>
          </w:p>
        </w:tc>
        <w:tc>
          <w:tcPr>
            <w:tcW w:w="1852"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3.43</w:t>
            </w:r>
          </w:p>
        </w:tc>
        <w:tc>
          <w:tcPr>
            <w:tcW w:w="2057"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1.30</w:t>
            </w:r>
          </w:p>
        </w:tc>
        <w:tc>
          <w:tcPr>
            <w:tcW w:w="1783"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14.94</w:t>
            </w:r>
          </w:p>
        </w:tc>
      </w:tr>
    </w:tbl>
    <w:p w:rsidR="00BA3F0B" w:rsidRDefault="00BA3F0B">
      <w:pPr>
        <w:ind w:left="227" w:firstLineChars="100" w:firstLine="221"/>
        <w:rPr>
          <w:rFonts w:ascii="仿宋" w:eastAsia="仿宋" w:hAnsi="仿宋" w:cs="仿宋"/>
          <w:b/>
          <w:bCs/>
        </w:rPr>
        <w:sectPr w:rsidR="00BA3F0B">
          <w:footerReference w:type="default" r:id="rId20"/>
          <w:pgSz w:w="16838" w:h="11906" w:orient="landscape"/>
          <w:pgMar w:top="720" w:right="720" w:bottom="720" w:left="720" w:header="170" w:footer="280" w:gutter="0"/>
          <w:pgNumType w:fmt="numberInDash"/>
          <w:cols w:space="720"/>
          <w:formProt w:val="0"/>
          <w:docGrid w:linePitch="100"/>
        </w:sectPr>
      </w:pPr>
    </w:p>
    <w:tbl>
      <w:tblPr>
        <w:tblW w:w="10812" w:type="dxa"/>
        <w:tblInd w:w="-106" w:type="dxa"/>
        <w:tblLayout w:type="fixed"/>
        <w:tblCellMar>
          <w:top w:w="55" w:type="dxa"/>
          <w:left w:w="55" w:type="dxa"/>
          <w:bottom w:w="55" w:type="dxa"/>
          <w:right w:w="55" w:type="dxa"/>
        </w:tblCellMar>
        <w:tblLook w:val="04A0" w:firstRow="1" w:lastRow="0" w:firstColumn="1" w:lastColumn="0" w:noHBand="0" w:noVBand="1"/>
      </w:tblPr>
      <w:tblGrid>
        <w:gridCol w:w="1618"/>
        <w:gridCol w:w="2834"/>
        <w:gridCol w:w="1783"/>
        <w:gridCol w:w="2092"/>
        <w:gridCol w:w="2485"/>
      </w:tblGrid>
      <w:tr w:rsidR="00BA3F0B">
        <w:trPr>
          <w:trHeight w:val="213"/>
        </w:trPr>
        <w:tc>
          <w:tcPr>
            <w:tcW w:w="10812" w:type="dxa"/>
            <w:gridSpan w:val="5"/>
            <w:tcBorders>
              <w:top w:val="nil"/>
              <w:left w:val="nil"/>
              <w:bottom w:val="nil"/>
              <w:right w:val="nil"/>
            </w:tcBorders>
            <w:vAlign w:val="center"/>
          </w:tcPr>
          <w:p w:rsidR="00BA3F0B" w:rsidRDefault="00827830">
            <w:pPr>
              <w:pStyle w:val="TableParagraph"/>
              <w:rPr>
                <w:rFonts w:ascii="仿宋" w:eastAsia="仿宋" w:hAnsi="仿宋" w:cs="仿宋"/>
              </w:rPr>
            </w:pPr>
            <w:r>
              <w:rPr>
                <w:rFonts w:ascii="仿宋" w:eastAsia="仿宋" w:hAnsi="仿宋" w:cs="仿宋" w:hint="eastAsia"/>
              </w:rPr>
              <w:t>公开</w:t>
            </w:r>
            <w:r>
              <w:rPr>
                <w:rFonts w:ascii="仿宋" w:eastAsia="仿宋" w:hAnsi="仿宋" w:cs="仿宋" w:hint="eastAsia"/>
                <w:lang w:val="en-US"/>
              </w:rPr>
              <w:t>10</w:t>
            </w:r>
            <w:r>
              <w:rPr>
                <w:rFonts w:ascii="仿宋" w:eastAsia="仿宋" w:hAnsi="仿宋" w:cs="仿宋" w:hint="eastAsia"/>
              </w:rPr>
              <w:t>表</w:t>
            </w:r>
          </w:p>
        </w:tc>
      </w:tr>
      <w:tr w:rsidR="00BA3F0B">
        <w:trPr>
          <w:trHeight w:val="213"/>
        </w:trPr>
        <w:tc>
          <w:tcPr>
            <w:tcW w:w="10812" w:type="dxa"/>
            <w:gridSpan w:val="5"/>
            <w:tcBorders>
              <w:top w:val="nil"/>
              <w:left w:val="nil"/>
              <w:bottom w:val="nil"/>
              <w:right w:val="nil"/>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b/>
                <w:bCs/>
                <w:sz w:val="44"/>
                <w:szCs w:val="44"/>
              </w:rPr>
              <w:t>政府性基金预算支出表</w:t>
            </w:r>
          </w:p>
        </w:tc>
      </w:tr>
      <w:tr w:rsidR="00BA3F0B">
        <w:trPr>
          <w:trHeight w:val="213"/>
        </w:trPr>
        <w:tc>
          <w:tcPr>
            <w:tcW w:w="8327" w:type="dxa"/>
            <w:gridSpan w:val="4"/>
            <w:tcBorders>
              <w:top w:val="nil"/>
              <w:left w:val="nil"/>
              <w:bottom w:val="single" w:sz="4" w:space="0" w:color="auto"/>
              <w:right w:val="nil"/>
            </w:tcBorders>
            <w:vAlign w:val="center"/>
          </w:tcPr>
          <w:p w:rsidR="00BA3F0B" w:rsidRDefault="00827830">
            <w:pPr>
              <w:pStyle w:val="TableParagraph"/>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2485" w:type="dxa"/>
            <w:tcBorders>
              <w:top w:val="nil"/>
              <w:left w:val="nil"/>
              <w:bottom w:val="single" w:sz="4" w:space="0" w:color="auto"/>
              <w:right w:val="nil"/>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单位：万元</w:t>
            </w:r>
          </w:p>
        </w:tc>
      </w:tr>
      <w:tr w:rsidR="00BA3F0B">
        <w:trPr>
          <w:trHeight w:val="187"/>
        </w:trPr>
        <w:tc>
          <w:tcPr>
            <w:tcW w:w="1618" w:type="dxa"/>
            <w:vMerge w:val="restart"/>
            <w:tcBorders>
              <w:top w:val="single" w:sz="4" w:space="0" w:color="auto"/>
              <w:left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科目编码</w:t>
            </w:r>
          </w:p>
        </w:tc>
        <w:tc>
          <w:tcPr>
            <w:tcW w:w="2834" w:type="dxa"/>
            <w:vMerge w:val="restart"/>
            <w:tcBorders>
              <w:top w:val="single" w:sz="4" w:space="0" w:color="auto"/>
              <w:left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科目名称</w:t>
            </w:r>
          </w:p>
        </w:tc>
        <w:tc>
          <w:tcPr>
            <w:tcW w:w="6360" w:type="dxa"/>
            <w:gridSpan w:val="3"/>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本年政府性基金预算支出</w:t>
            </w:r>
          </w:p>
        </w:tc>
      </w:tr>
      <w:tr w:rsidR="00BA3F0B">
        <w:trPr>
          <w:trHeight w:val="139"/>
        </w:trPr>
        <w:tc>
          <w:tcPr>
            <w:tcW w:w="1618" w:type="dxa"/>
            <w:vMerge/>
            <w:tcBorders>
              <w:left w:val="single" w:sz="4" w:space="0" w:color="auto"/>
              <w:bottom w:val="single" w:sz="4" w:space="0" w:color="auto"/>
              <w:right w:val="single" w:sz="4" w:space="0" w:color="auto"/>
            </w:tcBorders>
            <w:vAlign w:val="center"/>
          </w:tcPr>
          <w:p w:rsidR="00BA3F0B" w:rsidRDefault="00BA3F0B">
            <w:pPr>
              <w:pStyle w:val="TableParagraph"/>
              <w:jc w:val="center"/>
              <w:rPr>
                <w:rFonts w:ascii="仿宋" w:eastAsia="仿宋" w:hAnsi="仿宋" w:cs="仿宋"/>
              </w:rPr>
            </w:pPr>
          </w:p>
        </w:tc>
        <w:tc>
          <w:tcPr>
            <w:tcW w:w="2834" w:type="dxa"/>
            <w:vMerge/>
            <w:tcBorders>
              <w:left w:val="single" w:sz="4" w:space="0" w:color="auto"/>
              <w:bottom w:val="single" w:sz="4" w:space="0" w:color="auto"/>
              <w:right w:val="single" w:sz="4" w:space="0" w:color="auto"/>
            </w:tcBorders>
            <w:vAlign w:val="center"/>
          </w:tcPr>
          <w:p w:rsidR="00BA3F0B" w:rsidRDefault="00BA3F0B">
            <w:pPr>
              <w:pStyle w:val="TableParagraph"/>
              <w:jc w:val="cente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lang w:val="en-US"/>
              </w:rPr>
            </w:pPr>
            <w:r>
              <w:rPr>
                <w:rFonts w:ascii="仿宋" w:eastAsia="仿宋" w:hAnsi="仿宋" w:cs="仿宋" w:hint="eastAsia"/>
                <w:lang w:val="en-US"/>
              </w:rPr>
              <w:t>合计</w:t>
            </w:r>
          </w:p>
        </w:tc>
        <w:tc>
          <w:tcPr>
            <w:tcW w:w="2092"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基本支出</w:t>
            </w:r>
          </w:p>
        </w:tc>
        <w:tc>
          <w:tcPr>
            <w:tcW w:w="2485"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项目支出</w:t>
            </w:r>
          </w:p>
        </w:tc>
      </w:tr>
      <w:tr w:rsidR="00BA3F0B">
        <w:trPr>
          <w:trHeight w:val="462"/>
        </w:trPr>
        <w:tc>
          <w:tcPr>
            <w:tcW w:w="1618" w:type="dxa"/>
            <w:tcBorders>
              <w:top w:val="single" w:sz="4" w:space="0" w:color="auto"/>
              <w:left w:val="single" w:sz="4" w:space="0" w:color="auto"/>
              <w:bottom w:val="single" w:sz="4" w:space="0" w:color="auto"/>
              <w:right w:val="single" w:sz="4" w:space="0" w:color="auto"/>
            </w:tcBorders>
            <w:vAlign w:val="center"/>
          </w:tcPr>
          <w:p w:rsidR="00BA3F0B" w:rsidRDefault="00BA3F0B">
            <w:pPr>
              <w:pStyle w:val="TableParagraph"/>
              <w:jc w:val="cente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BA3F0B" w:rsidRDefault="00827830">
            <w:pPr>
              <w:pStyle w:val="TableParagraph"/>
              <w:jc w:val="center"/>
              <w:rPr>
                <w:rFonts w:ascii="仿宋" w:eastAsia="仿宋" w:hAnsi="仿宋" w:cs="仿宋"/>
                <w:lang w:val="en-US"/>
              </w:rPr>
            </w:pPr>
            <w:r>
              <w:rPr>
                <w:rFonts w:ascii="仿宋" w:eastAsia="仿宋" w:hAnsi="仿宋" w:cs="仿宋" w:hint="eastAsia"/>
                <w:lang w:val="en-US"/>
              </w:rPr>
              <w:t>合计</w:t>
            </w:r>
          </w:p>
        </w:tc>
        <w:tc>
          <w:tcPr>
            <w:tcW w:w="1783"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r>
      <w:tr w:rsidR="00BA3F0B">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BA3F0B" w:rsidRDefault="00BA3F0B">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BA3F0B" w:rsidRDefault="00BA3F0B">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r>
      <w:tr w:rsidR="00BA3F0B">
        <w:trPr>
          <w:cantSplit/>
          <w:trHeight w:val="250"/>
        </w:trPr>
        <w:tc>
          <w:tcPr>
            <w:tcW w:w="1618" w:type="dxa"/>
            <w:tcBorders>
              <w:top w:val="single" w:sz="4" w:space="0" w:color="auto"/>
              <w:left w:val="single" w:sz="4" w:space="0" w:color="auto"/>
              <w:bottom w:val="single" w:sz="4" w:space="0" w:color="auto"/>
              <w:right w:val="single" w:sz="4" w:space="0" w:color="auto"/>
            </w:tcBorders>
            <w:vAlign w:val="center"/>
          </w:tcPr>
          <w:p w:rsidR="00BA3F0B" w:rsidRDefault="00BA3F0B">
            <w:pPr>
              <w:rPr>
                <w:rFonts w:ascii="仿宋" w:eastAsia="仿宋" w:hAnsi="仿宋" w:cs="仿宋"/>
              </w:rPr>
            </w:pPr>
          </w:p>
        </w:tc>
        <w:tc>
          <w:tcPr>
            <w:tcW w:w="2834" w:type="dxa"/>
            <w:tcBorders>
              <w:top w:val="single" w:sz="4" w:space="0" w:color="auto"/>
              <w:left w:val="single" w:sz="4" w:space="0" w:color="auto"/>
              <w:bottom w:val="single" w:sz="4" w:space="0" w:color="auto"/>
              <w:right w:val="single" w:sz="4" w:space="0" w:color="auto"/>
            </w:tcBorders>
            <w:vAlign w:val="center"/>
          </w:tcPr>
          <w:p w:rsidR="00BA3F0B" w:rsidRDefault="00BA3F0B">
            <w:pPr>
              <w:rPr>
                <w:rFonts w:ascii="仿宋" w:eastAsia="仿宋" w:hAnsi="仿宋" w:cs="仿宋"/>
              </w:rPr>
            </w:pPr>
          </w:p>
        </w:tc>
        <w:tc>
          <w:tcPr>
            <w:tcW w:w="1783"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c>
          <w:tcPr>
            <w:tcW w:w="2092"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c>
          <w:tcPr>
            <w:tcW w:w="2485" w:type="dxa"/>
            <w:tcBorders>
              <w:top w:val="single" w:sz="4" w:space="0" w:color="auto"/>
              <w:left w:val="single" w:sz="4" w:space="0" w:color="auto"/>
              <w:bottom w:val="single" w:sz="4" w:space="0" w:color="auto"/>
              <w:right w:val="single" w:sz="4" w:space="0" w:color="auto"/>
            </w:tcBorders>
            <w:vAlign w:val="center"/>
          </w:tcPr>
          <w:p w:rsidR="00BA3F0B" w:rsidRDefault="00BA3F0B">
            <w:pPr>
              <w:jc w:val="right"/>
              <w:rPr>
                <w:rFonts w:ascii="仿宋" w:eastAsia="仿宋" w:hAnsi="仿宋" w:cs="仿宋"/>
              </w:rPr>
            </w:pPr>
          </w:p>
        </w:tc>
      </w:tr>
    </w:tbl>
    <w:p w:rsidR="00BA3F0B" w:rsidRDefault="00827830">
      <w:pPr>
        <w:spacing w:before="25"/>
        <w:rPr>
          <w:rFonts w:ascii="仿宋" w:eastAsia="仿宋" w:hAnsi="仿宋" w:cs="仿宋"/>
          <w:b/>
          <w:bCs/>
          <w:lang w:val="en-US"/>
        </w:rPr>
      </w:pPr>
      <w:r>
        <w:rPr>
          <w:rFonts w:ascii="仿宋" w:eastAsia="仿宋" w:hAnsi="仿宋" w:cs="仿宋" w:hint="eastAsia"/>
          <w:b/>
          <w:bCs/>
        </w:rPr>
        <w:t>注：</w:t>
      </w:r>
      <w:r>
        <w:rPr>
          <w:rFonts w:ascii="仿宋" w:eastAsia="仿宋" w:hAnsi="仿宋" w:cs="仿宋" w:hint="eastAsia"/>
          <w:b/>
          <w:bCs/>
          <w:lang w:val="en-US"/>
        </w:rPr>
        <w:t>本</w:t>
      </w:r>
      <w:r>
        <w:rPr>
          <w:rFonts w:ascii="仿宋" w:eastAsia="仿宋" w:hAnsi="仿宋" w:cs="仿宋"/>
          <w:b/>
        </w:rPr>
        <w:t>部门无政府性基金预算，也没有使用政府性基金安排的支出，故本表无数据。</w:t>
      </w:r>
    </w:p>
    <w:p w:rsidR="00BA3F0B" w:rsidRDefault="00BA3F0B">
      <w:pPr>
        <w:spacing w:before="25"/>
        <w:rPr>
          <w:rFonts w:ascii="仿宋" w:eastAsia="仿宋" w:hAnsi="仿宋" w:cs="仿宋"/>
          <w:b/>
          <w:bCs/>
          <w:lang w:val="en-US"/>
        </w:rPr>
        <w:sectPr w:rsidR="00BA3F0B">
          <w:footerReference w:type="default" r:id="rId21"/>
          <w:pgSz w:w="11906" w:h="16838"/>
          <w:pgMar w:top="720" w:right="720" w:bottom="720" w:left="720" w:header="170" w:footer="280" w:gutter="0"/>
          <w:pgNumType w:fmt="numberInDash"/>
          <w:cols w:space="720"/>
          <w:formProt w:val="0"/>
          <w:docGrid w:linePitch="100"/>
        </w:sectPr>
      </w:pPr>
    </w:p>
    <w:tbl>
      <w:tblPr>
        <w:tblW w:w="14695" w:type="dxa"/>
        <w:jc w:val="center"/>
        <w:tblLayout w:type="fixed"/>
        <w:tblLook w:val="04A0" w:firstRow="1" w:lastRow="0" w:firstColumn="1" w:lastColumn="0" w:noHBand="0" w:noVBand="1"/>
      </w:tblPr>
      <w:tblGrid>
        <w:gridCol w:w="1596"/>
        <w:gridCol w:w="3803"/>
        <w:gridCol w:w="3111"/>
        <w:gridCol w:w="3094"/>
        <w:gridCol w:w="3091"/>
      </w:tblGrid>
      <w:tr w:rsidR="00BA3F0B">
        <w:trPr>
          <w:trHeight w:val="447"/>
          <w:jc w:val="center"/>
        </w:trPr>
        <w:tc>
          <w:tcPr>
            <w:tcW w:w="14695" w:type="dxa"/>
            <w:gridSpan w:val="5"/>
            <w:tcBorders>
              <w:top w:val="nil"/>
              <w:left w:val="nil"/>
              <w:bottom w:val="nil"/>
              <w:right w:val="nil"/>
            </w:tcBorders>
            <w:shd w:val="clear" w:color="auto" w:fill="auto"/>
            <w:vAlign w:val="center"/>
          </w:tcPr>
          <w:p w:rsidR="00BA3F0B" w:rsidRDefault="00827830">
            <w:pPr>
              <w:widowControl/>
              <w:rPr>
                <w:rFonts w:ascii="仿宋" w:eastAsia="仿宋" w:hAnsi="仿宋" w:cs="仿宋"/>
              </w:rPr>
            </w:pPr>
            <w:r>
              <w:rPr>
                <w:rFonts w:ascii="仿宋" w:eastAsia="仿宋" w:hAnsi="仿宋" w:cs="仿宋" w:hint="eastAsia"/>
              </w:rPr>
              <w:t>公开</w:t>
            </w:r>
            <w:r>
              <w:rPr>
                <w:rFonts w:ascii="仿宋" w:eastAsia="仿宋" w:hAnsi="仿宋" w:cs="仿宋" w:hint="eastAsia"/>
              </w:rPr>
              <w:t>11</w:t>
            </w:r>
            <w:r>
              <w:rPr>
                <w:rFonts w:ascii="仿宋" w:eastAsia="仿宋" w:hAnsi="仿宋" w:cs="仿宋" w:hint="eastAsia"/>
              </w:rPr>
              <w:t>表</w:t>
            </w:r>
          </w:p>
        </w:tc>
      </w:tr>
      <w:tr w:rsidR="00BA3F0B">
        <w:trPr>
          <w:trHeight w:val="960"/>
          <w:jc w:val="center"/>
        </w:trPr>
        <w:tc>
          <w:tcPr>
            <w:tcW w:w="14695" w:type="dxa"/>
            <w:gridSpan w:val="5"/>
            <w:tcBorders>
              <w:top w:val="nil"/>
              <w:left w:val="nil"/>
              <w:bottom w:val="nil"/>
              <w:right w:val="nil"/>
            </w:tcBorders>
            <w:shd w:val="clear" w:color="auto" w:fill="auto"/>
            <w:vAlign w:val="center"/>
          </w:tcPr>
          <w:p w:rsidR="00BA3F0B" w:rsidRDefault="00827830">
            <w:pPr>
              <w:widowControl/>
              <w:jc w:val="center"/>
              <w:rPr>
                <w:rFonts w:ascii="仿宋" w:eastAsia="仿宋" w:hAnsi="仿宋" w:cs="仿宋"/>
              </w:rPr>
            </w:pPr>
            <w:r>
              <w:rPr>
                <w:rFonts w:ascii="仿宋" w:eastAsia="仿宋" w:hAnsi="仿宋" w:cs="仿宋" w:hint="eastAsia"/>
                <w:b/>
                <w:bCs/>
                <w:sz w:val="44"/>
                <w:szCs w:val="44"/>
              </w:rPr>
              <w:t>国有资本经营预算支出预算表</w:t>
            </w:r>
          </w:p>
        </w:tc>
      </w:tr>
      <w:tr w:rsidR="00BA3F0B">
        <w:trPr>
          <w:trHeight w:val="319"/>
          <w:jc w:val="center"/>
        </w:trPr>
        <w:tc>
          <w:tcPr>
            <w:tcW w:w="11604" w:type="dxa"/>
            <w:gridSpan w:val="4"/>
            <w:tcBorders>
              <w:top w:val="nil"/>
              <w:left w:val="nil"/>
              <w:bottom w:val="single" w:sz="4" w:space="0" w:color="auto"/>
              <w:right w:val="nil"/>
            </w:tcBorders>
            <w:shd w:val="clear" w:color="auto" w:fill="auto"/>
            <w:vAlign w:val="center"/>
          </w:tcPr>
          <w:p w:rsidR="00BA3F0B" w:rsidRDefault="00827830">
            <w:pPr>
              <w:widowControl/>
              <w:rPr>
                <w:rFonts w:ascii="仿宋" w:eastAsia="仿宋" w:hAnsi="仿宋" w:cs="仿宋"/>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3091" w:type="dxa"/>
            <w:tcBorders>
              <w:top w:val="nil"/>
              <w:left w:val="nil"/>
              <w:bottom w:val="nil"/>
              <w:right w:val="nil"/>
            </w:tcBorders>
            <w:shd w:val="clear" w:color="auto" w:fill="auto"/>
            <w:noWrap/>
            <w:vAlign w:val="center"/>
          </w:tcPr>
          <w:p w:rsidR="00BA3F0B" w:rsidRDefault="00827830">
            <w:pPr>
              <w:widowControl/>
              <w:jc w:val="right"/>
              <w:rPr>
                <w:rFonts w:ascii="仿宋" w:eastAsia="仿宋" w:hAnsi="仿宋" w:cs="仿宋"/>
              </w:rPr>
            </w:pPr>
            <w:r>
              <w:rPr>
                <w:rFonts w:ascii="仿宋" w:eastAsia="仿宋" w:hAnsi="仿宋" w:cs="仿宋" w:hint="eastAsia"/>
              </w:rPr>
              <w:t>单位：万元</w:t>
            </w:r>
          </w:p>
        </w:tc>
      </w:tr>
      <w:tr w:rsidR="00BA3F0B">
        <w:trPr>
          <w:trHeight w:val="143"/>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项</w:t>
            </w:r>
            <w:r>
              <w:rPr>
                <w:rFonts w:ascii="仿宋" w:eastAsia="仿宋" w:hAnsi="仿宋" w:cs="仿宋" w:hint="eastAsia"/>
              </w:rPr>
              <w:t xml:space="preserve">    </w:t>
            </w:r>
            <w:r>
              <w:rPr>
                <w:rFonts w:ascii="仿宋" w:eastAsia="仿宋" w:hAnsi="仿宋" w:cs="仿宋" w:hint="eastAsia"/>
              </w:rPr>
              <w:t>目</w:t>
            </w:r>
          </w:p>
        </w:tc>
        <w:tc>
          <w:tcPr>
            <w:tcW w:w="311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本年支出合计</w:t>
            </w:r>
          </w:p>
        </w:tc>
        <w:tc>
          <w:tcPr>
            <w:tcW w:w="3094"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基本支出</w:t>
            </w:r>
            <w:r>
              <w:rPr>
                <w:rFonts w:ascii="仿宋" w:eastAsia="仿宋" w:hAnsi="仿宋" w:cs="仿宋" w:hint="eastAsia"/>
              </w:rPr>
              <w:t xml:space="preserve">  </w:t>
            </w:r>
          </w:p>
        </w:tc>
        <w:tc>
          <w:tcPr>
            <w:tcW w:w="309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项目支出</w:t>
            </w:r>
          </w:p>
        </w:tc>
      </w:tr>
      <w:tr w:rsidR="00BA3F0B">
        <w:trPr>
          <w:trHeight w:val="201"/>
          <w:jc w:val="center"/>
        </w:trPr>
        <w:tc>
          <w:tcPr>
            <w:tcW w:w="1596" w:type="dxa"/>
            <w:tcBorders>
              <w:top w:val="nil"/>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功能分类</w:t>
            </w:r>
          </w:p>
          <w:p w:rsidR="00BA3F0B" w:rsidRDefault="00827830">
            <w:pPr>
              <w:widowControl/>
              <w:spacing w:line="34" w:lineRule="atLeast"/>
              <w:jc w:val="center"/>
              <w:rPr>
                <w:rFonts w:ascii="仿宋" w:eastAsia="仿宋" w:hAnsi="仿宋" w:cs="仿宋"/>
              </w:rPr>
            </w:pPr>
            <w:r>
              <w:rPr>
                <w:rFonts w:ascii="仿宋" w:eastAsia="仿宋" w:hAnsi="仿宋" w:cs="仿宋" w:hint="eastAsia"/>
              </w:rPr>
              <w:t>科目编码</w:t>
            </w:r>
          </w:p>
        </w:tc>
        <w:tc>
          <w:tcPr>
            <w:tcW w:w="3803" w:type="dxa"/>
            <w:tcBorders>
              <w:top w:val="nil"/>
              <w:left w:val="nil"/>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科目名称</w:t>
            </w:r>
          </w:p>
        </w:tc>
        <w:tc>
          <w:tcPr>
            <w:tcW w:w="3111" w:type="dxa"/>
            <w:vMerge/>
            <w:tcBorders>
              <w:top w:val="single" w:sz="4" w:space="0" w:color="auto"/>
              <w:left w:val="single" w:sz="4" w:space="0" w:color="auto"/>
              <w:bottom w:val="single" w:sz="4" w:space="0" w:color="auto"/>
              <w:right w:val="single" w:sz="4" w:space="0" w:color="auto"/>
            </w:tcBorders>
            <w:vAlign w:val="center"/>
          </w:tcPr>
          <w:p w:rsidR="00BA3F0B" w:rsidRDefault="00BA3F0B">
            <w:pPr>
              <w:widowControl/>
              <w:spacing w:line="34" w:lineRule="atLeast"/>
              <w:rPr>
                <w:rFonts w:ascii="仿宋" w:eastAsia="仿宋" w:hAnsi="仿宋" w:cs="仿宋"/>
              </w:rPr>
            </w:pPr>
          </w:p>
        </w:tc>
        <w:tc>
          <w:tcPr>
            <w:tcW w:w="3094" w:type="dxa"/>
            <w:vMerge/>
            <w:tcBorders>
              <w:top w:val="single" w:sz="4" w:space="0" w:color="auto"/>
              <w:left w:val="single" w:sz="4" w:space="0" w:color="auto"/>
              <w:bottom w:val="single" w:sz="4" w:space="0" w:color="auto"/>
              <w:right w:val="single" w:sz="4" w:space="0" w:color="auto"/>
            </w:tcBorders>
            <w:vAlign w:val="center"/>
          </w:tcPr>
          <w:p w:rsidR="00BA3F0B" w:rsidRDefault="00BA3F0B">
            <w:pPr>
              <w:widowControl/>
              <w:spacing w:line="34" w:lineRule="atLeast"/>
              <w:rPr>
                <w:rFonts w:ascii="仿宋" w:eastAsia="仿宋" w:hAnsi="仿宋" w:cs="仿宋"/>
              </w:rPr>
            </w:pPr>
          </w:p>
        </w:tc>
        <w:tc>
          <w:tcPr>
            <w:tcW w:w="3091" w:type="dxa"/>
            <w:vMerge/>
            <w:tcBorders>
              <w:top w:val="single" w:sz="4" w:space="0" w:color="auto"/>
              <w:left w:val="single" w:sz="4" w:space="0" w:color="auto"/>
              <w:bottom w:val="single" w:sz="4" w:space="0" w:color="auto"/>
              <w:right w:val="single" w:sz="4" w:space="0" w:color="auto"/>
            </w:tcBorders>
            <w:vAlign w:val="center"/>
          </w:tcPr>
          <w:p w:rsidR="00BA3F0B" w:rsidRDefault="00BA3F0B">
            <w:pPr>
              <w:widowControl/>
              <w:spacing w:line="34" w:lineRule="atLeast"/>
              <w:rPr>
                <w:rFonts w:ascii="仿宋" w:eastAsia="仿宋" w:hAnsi="仿宋" w:cs="仿宋"/>
              </w:rPr>
            </w:pPr>
          </w:p>
        </w:tc>
      </w:tr>
      <w:tr w:rsidR="00BA3F0B">
        <w:trPr>
          <w:trHeight w:val="90"/>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栏次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1</w:t>
            </w: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2</w:t>
            </w: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3</w:t>
            </w:r>
          </w:p>
        </w:tc>
      </w:tr>
      <w:tr w:rsidR="00BA3F0B">
        <w:trPr>
          <w:trHeight w:val="246"/>
          <w:jc w:val="center"/>
        </w:trPr>
        <w:tc>
          <w:tcPr>
            <w:tcW w:w="539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827830">
            <w:pPr>
              <w:widowControl/>
              <w:spacing w:line="34" w:lineRule="atLeast"/>
              <w:jc w:val="center"/>
              <w:rPr>
                <w:rFonts w:ascii="仿宋" w:eastAsia="仿宋" w:hAnsi="仿宋" w:cs="仿宋"/>
              </w:rPr>
            </w:pPr>
            <w:r>
              <w:rPr>
                <w:rFonts w:ascii="仿宋" w:eastAsia="仿宋" w:hAnsi="仿宋" w:cs="仿宋" w:hint="eastAsia"/>
              </w:rPr>
              <w:t>合计</w:t>
            </w: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r>
      <w:tr w:rsidR="00BA3F0B">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r>
      <w:tr w:rsidR="00BA3F0B">
        <w:trPr>
          <w:trHeight w:val="90"/>
          <w:jc w:val="center"/>
        </w:trPr>
        <w:tc>
          <w:tcPr>
            <w:tcW w:w="1596"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803"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111"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094"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c>
          <w:tcPr>
            <w:tcW w:w="3091" w:type="dxa"/>
            <w:tcBorders>
              <w:top w:val="single" w:sz="4" w:space="0" w:color="auto"/>
              <w:left w:val="single" w:sz="4" w:space="0" w:color="auto"/>
              <w:bottom w:val="single" w:sz="4" w:space="0" w:color="auto"/>
              <w:right w:val="single" w:sz="4" w:space="0" w:color="auto"/>
            </w:tcBorders>
            <w:shd w:val="clear" w:color="auto" w:fill="auto"/>
            <w:vAlign w:val="center"/>
          </w:tcPr>
          <w:p w:rsidR="00BA3F0B" w:rsidRDefault="00BA3F0B">
            <w:pPr>
              <w:widowControl/>
              <w:spacing w:line="34" w:lineRule="atLeast"/>
              <w:jc w:val="center"/>
              <w:rPr>
                <w:rFonts w:ascii="仿宋" w:eastAsia="仿宋" w:hAnsi="仿宋" w:cs="仿宋"/>
              </w:rPr>
            </w:pPr>
          </w:p>
        </w:tc>
      </w:tr>
    </w:tbl>
    <w:p w:rsidR="00BA3F0B" w:rsidRDefault="00827830">
      <w:pPr>
        <w:spacing w:before="25"/>
        <w:ind w:firstLineChars="200" w:firstLine="442"/>
        <w:rPr>
          <w:rFonts w:ascii="仿宋" w:eastAsia="仿宋" w:hAnsi="仿宋" w:cs="仿宋"/>
          <w:b/>
          <w:bCs/>
          <w:lang w:val="en-US"/>
        </w:rPr>
      </w:pPr>
      <w:r>
        <w:rPr>
          <w:rFonts w:ascii="仿宋" w:eastAsia="仿宋" w:hAnsi="仿宋" w:cs="仿宋"/>
          <w:b/>
        </w:rPr>
        <w:t>注：本部门无</w:t>
      </w:r>
      <w:r>
        <w:rPr>
          <w:rFonts w:ascii="仿宋" w:eastAsia="仿宋" w:hAnsi="仿宋" w:cs="仿宋" w:hint="eastAsia"/>
          <w:b/>
          <w:bCs/>
        </w:rPr>
        <w:t>国有资本经营预算支出</w:t>
      </w:r>
      <w:r>
        <w:rPr>
          <w:rFonts w:ascii="仿宋" w:eastAsia="仿宋" w:hAnsi="仿宋" w:cs="仿宋" w:hint="eastAsia"/>
          <w:b/>
          <w:bCs/>
          <w:lang w:val="en-US"/>
        </w:rPr>
        <w:t>，故本表无数据。</w:t>
      </w:r>
    </w:p>
    <w:p w:rsidR="00BA3F0B" w:rsidRDefault="00BA3F0B">
      <w:pPr>
        <w:spacing w:before="25"/>
        <w:rPr>
          <w:rFonts w:ascii="仿宋" w:eastAsia="仿宋" w:hAnsi="仿宋" w:cs="仿宋"/>
          <w:b/>
          <w:bCs/>
          <w:lang w:val="en-US"/>
        </w:rPr>
        <w:sectPr w:rsidR="00BA3F0B">
          <w:pgSz w:w="16838" w:h="11906" w:orient="landscape"/>
          <w:pgMar w:top="720" w:right="720" w:bottom="720" w:left="720" w:header="170" w:footer="280" w:gutter="0"/>
          <w:pgNumType w:fmt="numberInDash"/>
          <w:cols w:space="720"/>
          <w:formProt w:val="0"/>
          <w:docGrid w:linePitch="100"/>
        </w:sectPr>
      </w:pPr>
    </w:p>
    <w:tbl>
      <w:tblPr>
        <w:tblW w:w="10235" w:type="dxa"/>
        <w:tblInd w:w="-403" w:type="dxa"/>
        <w:tblLayout w:type="fixed"/>
        <w:tblCellMar>
          <w:top w:w="55" w:type="dxa"/>
          <w:left w:w="55" w:type="dxa"/>
          <w:bottom w:w="55" w:type="dxa"/>
          <w:right w:w="55" w:type="dxa"/>
        </w:tblCellMar>
        <w:tblLook w:val="04A0" w:firstRow="1" w:lastRow="0" w:firstColumn="1" w:lastColumn="0" w:noHBand="0" w:noVBand="1"/>
      </w:tblPr>
      <w:tblGrid>
        <w:gridCol w:w="3088"/>
        <w:gridCol w:w="2876"/>
        <w:gridCol w:w="1920"/>
        <w:gridCol w:w="2351"/>
      </w:tblGrid>
      <w:tr w:rsidR="00BA3F0B">
        <w:trPr>
          <w:trHeight w:val="319"/>
        </w:trPr>
        <w:tc>
          <w:tcPr>
            <w:tcW w:w="10235" w:type="dxa"/>
            <w:gridSpan w:val="4"/>
          </w:tcPr>
          <w:p w:rsidR="00BA3F0B" w:rsidRDefault="00827830">
            <w:pPr>
              <w:pStyle w:val="TableParagraph"/>
              <w:tabs>
                <w:tab w:val="left" w:pos="610"/>
              </w:tabs>
              <w:spacing w:before="28"/>
              <w:ind w:left="8"/>
              <w:rPr>
                <w:rFonts w:ascii="仿宋" w:eastAsia="仿宋" w:hAnsi="仿宋" w:cs="仿宋"/>
                <w:b/>
                <w:bCs/>
                <w:sz w:val="44"/>
                <w:szCs w:val="44"/>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2</w:t>
            </w:r>
            <w:r>
              <w:rPr>
                <w:rFonts w:ascii="仿宋" w:eastAsia="仿宋" w:hAnsi="仿宋" w:cs="仿宋" w:hint="eastAsia"/>
              </w:rPr>
              <w:t>表</w:t>
            </w:r>
          </w:p>
        </w:tc>
      </w:tr>
      <w:tr w:rsidR="00BA3F0B">
        <w:trPr>
          <w:trHeight w:val="90"/>
        </w:trPr>
        <w:tc>
          <w:tcPr>
            <w:tcW w:w="10235" w:type="dxa"/>
            <w:gridSpan w:val="4"/>
          </w:tcPr>
          <w:p w:rsidR="00BA3F0B" w:rsidRDefault="00827830">
            <w:pPr>
              <w:pStyle w:val="TableParagraph"/>
              <w:jc w:val="center"/>
              <w:rPr>
                <w:rFonts w:ascii="仿宋" w:eastAsia="仿宋" w:hAnsi="仿宋" w:cs="仿宋"/>
              </w:rPr>
            </w:pPr>
            <w:r>
              <w:rPr>
                <w:rFonts w:ascii="仿宋" w:eastAsia="仿宋" w:hAnsi="仿宋" w:cs="仿宋" w:hint="eastAsia"/>
                <w:b/>
                <w:bCs/>
                <w:sz w:val="44"/>
                <w:szCs w:val="44"/>
              </w:rPr>
              <w:t>一般公共预算机关运行经费支出预算表</w:t>
            </w:r>
          </w:p>
        </w:tc>
      </w:tr>
      <w:tr w:rsidR="00BA3F0B">
        <w:trPr>
          <w:trHeight w:val="90"/>
        </w:trPr>
        <w:tc>
          <w:tcPr>
            <w:tcW w:w="7884" w:type="dxa"/>
            <w:gridSpan w:val="3"/>
            <w:tcBorders>
              <w:bottom w:val="single" w:sz="4" w:space="0" w:color="auto"/>
            </w:tcBorders>
            <w:vAlign w:val="center"/>
          </w:tcPr>
          <w:p w:rsidR="00BA3F0B" w:rsidRDefault="00827830">
            <w:pPr>
              <w:pStyle w:val="TableParagraph"/>
              <w:rPr>
                <w:rFonts w:ascii="仿宋" w:eastAsia="仿宋" w:hAnsi="仿宋" w:cs="仿宋"/>
                <w:sz w:val="20"/>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2351" w:type="dxa"/>
            <w:tcBorders>
              <w:bottom w:val="single" w:sz="4" w:space="0" w:color="auto"/>
            </w:tcBorders>
            <w:vAlign w:val="center"/>
          </w:tcPr>
          <w:p w:rsidR="00BA3F0B" w:rsidRDefault="00827830">
            <w:pPr>
              <w:pStyle w:val="TableParagraph"/>
              <w:jc w:val="right"/>
              <w:rPr>
                <w:rFonts w:ascii="仿宋" w:eastAsia="仿宋" w:hAnsi="仿宋" w:cs="仿宋"/>
                <w:sz w:val="27"/>
              </w:rPr>
            </w:pPr>
            <w:r>
              <w:rPr>
                <w:rFonts w:ascii="仿宋" w:eastAsia="仿宋" w:hAnsi="仿宋" w:cs="仿宋" w:hint="eastAsia"/>
              </w:rPr>
              <w:t>单位</w:t>
            </w:r>
            <w:r>
              <w:rPr>
                <w:rFonts w:ascii="仿宋" w:eastAsia="仿宋" w:hAnsi="仿宋" w:cs="仿宋" w:hint="eastAsia"/>
              </w:rPr>
              <w:t>：万元</w:t>
            </w:r>
          </w:p>
        </w:tc>
      </w:tr>
      <w:tr w:rsidR="00BA3F0B">
        <w:trPr>
          <w:trHeight w:val="363"/>
        </w:trPr>
        <w:tc>
          <w:tcPr>
            <w:tcW w:w="3088" w:type="dxa"/>
            <w:tcBorders>
              <w:top w:val="single" w:sz="4" w:space="0" w:color="auto"/>
              <w:left w:val="single" w:sz="4" w:space="0" w:color="auto"/>
              <w:bottom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科目编码</w:t>
            </w:r>
          </w:p>
        </w:tc>
        <w:tc>
          <w:tcPr>
            <w:tcW w:w="2876" w:type="dxa"/>
            <w:tcBorders>
              <w:top w:val="single" w:sz="4" w:space="0" w:color="auto"/>
              <w:left w:val="single" w:sz="4" w:space="0" w:color="000000"/>
              <w:bottom w:val="single" w:sz="4" w:space="0" w:color="auto"/>
            </w:tcBorders>
            <w:vAlign w:val="center"/>
          </w:tcPr>
          <w:p w:rsidR="00BA3F0B" w:rsidRDefault="00827830">
            <w:pPr>
              <w:pStyle w:val="TableParagraph"/>
              <w:jc w:val="center"/>
              <w:rPr>
                <w:rFonts w:ascii="仿宋" w:eastAsia="仿宋" w:hAnsi="仿宋" w:cs="仿宋"/>
              </w:rPr>
            </w:pPr>
            <w:r>
              <w:rPr>
                <w:rFonts w:ascii="仿宋" w:eastAsia="仿宋" w:hAnsi="仿宋" w:cs="仿宋" w:hint="eastAsia"/>
              </w:rPr>
              <w:t>科目名称</w:t>
            </w:r>
          </w:p>
        </w:tc>
        <w:tc>
          <w:tcPr>
            <w:tcW w:w="4271" w:type="dxa"/>
            <w:gridSpan w:val="2"/>
            <w:tcBorders>
              <w:top w:val="single" w:sz="4" w:space="0" w:color="auto"/>
              <w:left w:val="single" w:sz="4" w:space="0" w:color="000000"/>
              <w:bottom w:val="single" w:sz="4" w:space="0" w:color="auto"/>
              <w:right w:val="single" w:sz="4" w:space="0" w:color="auto"/>
            </w:tcBorders>
          </w:tcPr>
          <w:p w:rsidR="00BA3F0B" w:rsidRDefault="00827830">
            <w:pPr>
              <w:jc w:val="center"/>
              <w:rPr>
                <w:rFonts w:ascii="仿宋" w:eastAsia="仿宋" w:hAnsi="仿宋" w:cs="仿宋"/>
              </w:rPr>
            </w:pPr>
            <w:r>
              <w:rPr>
                <w:rFonts w:ascii="仿宋" w:eastAsia="仿宋" w:hAnsi="仿宋" w:cs="仿宋" w:hint="eastAsia"/>
              </w:rPr>
              <w:t>机关运行经费支出</w:t>
            </w:r>
          </w:p>
        </w:tc>
      </w:tr>
      <w:tr w:rsidR="00BA3F0B">
        <w:trPr>
          <w:cantSplit/>
          <w:trHeight w:val="227"/>
        </w:trPr>
        <w:tc>
          <w:tcPr>
            <w:tcW w:w="5964" w:type="dxa"/>
            <w:gridSpan w:val="2"/>
            <w:tcBorders>
              <w:top w:val="single" w:sz="4" w:space="0" w:color="000000"/>
              <w:left w:val="single" w:sz="4" w:space="0" w:color="auto"/>
              <w:bottom w:val="single" w:sz="4" w:space="0" w:color="auto"/>
              <w:right w:val="single" w:sz="4" w:space="0" w:color="000000"/>
            </w:tcBorders>
          </w:tcPr>
          <w:p w:rsidR="00BA3F0B" w:rsidRDefault="00827830">
            <w:pPr>
              <w:pStyle w:val="TableParagraph"/>
              <w:jc w:val="center"/>
              <w:rPr>
                <w:rFonts w:ascii="仿宋" w:eastAsia="仿宋" w:hAnsi="仿宋" w:cs="仿宋"/>
                <w:lang w:val="en-US"/>
              </w:rPr>
            </w:pPr>
            <w:r>
              <w:rPr>
                <w:rFonts w:ascii="仿宋" w:eastAsia="仿宋" w:hAnsi="仿宋" w:cs="仿宋" w:hint="eastAsia"/>
                <w:lang w:val="en-US"/>
              </w:rPr>
              <w:t>合计</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255.12</w:t>
            </w:r>
          </w:p>
        </w:tc>
      </w:tr>
      <w:tr w:rsidR="00BA3F0B">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302</w:t>
            </w:r>
          </w:p>
        </w:tc>
        <w:tc>
          <w:tcPr>
            <w:tcW w:w="2876" w:type="dxa"/>
            <w:tcBorders>
              <w:top w:val="single" w:sz="4" w:space="0" w:color="000000"/>
              <w:left w:val="single" w:sz="4" w:space="0" w:color="000000"/>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255.12</w:t>
            </w:r>
          </w:p>
        </w:tc>
      </w:tr>
      <w:tr w:rsidR="00BA3F0B">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30201</w:t>
            </w:r>
          </w:p>
        </w:tc>
        <w:tc>
          <w:tcPr>
            <w:tcW w:w="2876" w:type="dxa"/>
            <w:tcBorders>
              <w:top w:val="single" w:sz="4" w:space="0" w:color="000000"/>
              <w:left w:val="single" w:sz="4" w:space="0" w:color="000000"/>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办公费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100.22</w:t>
            </w:r>
          </w:p>
        </w:tc>
      </w:tr>
      <w:tr w:rsidR="00BA3F0B">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30215</w:t>
            </w:r>
          </w:p>
        </w:tc>
        <w:tc>
          <w:tcPr>
            <w:tcW w:w="2876" w:type="dxa"/>
            <w:tcBorders>
              <w:top w:val="single" w:sz="4" w:space="0" w:color="000000"/>
              <w:left w:val="single" w:sz="4" w:space="0" w:color="000000"/>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会议费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1.30</w:t>
            </w:r>
          </w:p>
        </w:tc>
      </w:tr>
      <w:tr w:rsidR="00BA3F0B">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30216</w:t>
            </w:r>
          </w:p>
        </w:tc>
        <w:tc>
          <w:tcPr>
            <w:tcW w:w="2876" w:type="dxa"/>
            <w:tcBorders>
              <w:top w:val="single" w:sz="4" w:space="0" w:color="000000"/>
              <w:left w:val="single" w:sz="4" w:space="0" w:color="000000"/>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培训费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1.94</w:t>
            </w:r>
          </w:p>
        </w:tc>
      </w:tr>
      <w:tr w:rsidR="00BA3F0B">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30217</w:t>
            </w:r>
          </w:p>
        </w:tc>
        <w:tc>
          <w:tcPr>
            <w:tcW w:w="2876" w:type="dxa"/>
            <w:tcBorders>
              <w:top w:val="single" w:sz="4" w:space="0" w:color="000000"/>
              <w:left w:val="single" w:sz="4" w:space="0" w:color="000000"/>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公务接待费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2.83</w:t>
            </w:r>
          </w:p>
        </w:tc>
      </w:tr>
      <w:tr w:rsidR="00BA3F0B">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30228</w:t>
            </w:r>
          </w:p>
        </w:tc>
        <w:tc>
          <w:tcPr>
            <w:tcW w:w="2876" w:type="dxa"/>
            <w:tcBorders>
              <w:top w:val="single" w:sz="4" w:space="0" w:color="000000"/>
              <w:left w:val="single" w:sz="4" w:space="0" w:color="000000"/>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工会经费</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38.37</w:t>
            </w:r>
          </w:p>
        </w:tc>
      </w:tr>
      <w:tr w:rsidR="00BA3F0B">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30239</w:t>
            </w:r>
          </w:p>
        </w:tc>
        <w:tc>
          <w:tcPr>
            <w:tcW w:w="2876" w:type="dxa"/>
            <w:tcBorders>
              <w:top w:val="single" w:sz="4" w:space="0" w:color="000000"/>
              <w:left w:val="single" w:sz="4" w:space="0" w:color="000000"/>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其他交通费用</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91.86</w:t>
            </w:r>
          </w:p>
        </w:tc>
      </w:tr>
      <w:tr w:rsidR="00BA3F0B">
        <w:trPr>
          <w:cantSplit/>
          <w:trHeight w:val="227"/>
        </w:trPr>
        <w:tc>
          <w:tcPr>
            <w:tcW w:w="3088" w:type="dxa"/>
            <w:tcBorders>
              <w:top w:val="single" w:sz="4" w:space="0" w:color="000000"/>
              <w:left w:val="single" w:sz="4" w:space="0" w:color="auto"/>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 xml:space="preserve">  30299</w:t>
            </w:r>
          </w:p>
        </w:tc>
        <w:tc>
          <w:tcPr>
            <w:tcW w:w="2876" w:type="dxa"/>
            <w:tcBorders>
              <w:top w:val="single" w:sz="4" w:space="0" w:color="000000"/>
              <w:left w:val="single" w:sz="4" w:space="0" w:color="000000"/>
              <w:bottom w:val="single" w:sz="4" w:space="0" w:color="auto"/>
              <w:right w:val="single" w:sz="4" w:space="0" w:color="000000"/>
            </w:tcBorders>
          </w:tcPr>
          <w:p w:rsidR="00BA3F0B" w:rsidRDefault="00827830">
            <w:pPr>
              <w:pStyle w:val="TableParagraph"/>
              <w:rPr>
                <w:rFonts w:ascii="仿宋" w:eastAsia="仿宋" w:hAnsi="仿宋" w:cs="仿宋"/>
              </w:rPr>
            </w:pPr>
            <w:r>
              <w:rPr>
                <w:rFonts w:ascii="仿宋" w:eastAsia="仿宋" w:hAnsi="仿宋" w:cs="仿宋" w:hint="eastAsia"/>
              </w:rPr>
              <w:t>其他商品和服务支出</w:t>
            </w:r>
          </w:p>
        </w:tc>
        <w:tc>
          <w:tcPr>
            <w:tcW w:w="4271" w:type="dxa"/>
            <w:gridSpan w:val="2"/>
            <w:tcBorders>
              <w:top w:val="single" w:sz="4" w:space="0" w:color="000000"/>
              <w:left w:val="single" w:sz="4" w:space="0" w:color="000000"/>
              <w:bottom w:val="single" w:sz="4" w:space="0" w:color="auto"/>
              <w:right w:val="single" w:sz="4" w:space="0" w:color="auto"/>
            </w:tcBorders>
            <w:vAlign w:val="center"/>
          </w:tcPr>
          <w:p w:rsidR="00BA3F0B" w:rsidRDefault="00827830">
            <w:pPr>
              <w:pStyle w:val="TableParagraph"/>
              <w:jc w:val="right"/>
              <w:rPr>
                <w:rFonts w:ascii="仿宋" w:eastAsia="仿宋" w:hAnsi="仿宋" w:cs="仿宋"/>
              </w:rPr>
            </w:pPr>
            <w:r>
              <w:rPr>
                <w:rFonts w:ascii="仿宋" w:eastAsia="仿宋" w:hAnsi="仿宋" w:cs="仿宋" w:hint="eastAsia"/>
              </w:rPr>
              <w:t>18.60</w:t>
            </w:r>
          </w:p>
        </w:tc>
      </w:tr>
    </w:tbl>
    <w:p w:rsidR="00BA3F0B" w:rsidRDefault="00827830">
      <w:pPr>
        <w:tabs>
          <w:tab w:val="left" w:pos="-440"/>
        </w:tabs>
        <w:spacing w:before="25"/>
        <w:ind w:left="-440" w:rightChars="-100" w:right="-220"/>
        <w:rPr>
          <w:rFonts w:ascii="仿宋" w:eastAsia="仿宋" w:hAnsi="仿宋" w:cs="仿宋"/>
          <w:b/>
          <w:bCs/>
          <w:lang w:val="en-US"/>
        </w:rPr>
      </w:pPr>
      <w:r>
        <w:rPr>
          <w:rFonts w:ascii="仿宋" w:eastAsia="仿宋" w:hAnsi="仿宋" w:cs="仿宋" w:hint="eastAsia"/>
          <w:b/>
          <w:bCs/>
          <w:lang w:val="en-US"/>
        </w:rPr>
        <w:t>注：</w:t>
      </w:r>
      <w:r>
        <w:rPr>
          <w:rFonts w:ascii="仿宋" w:eastAsia="仿宋" w:hAnsi="仿宋" w:cs="仿宋" w:hint="eastAsia"/>
          <w:b/>
          <w:bCs/>
          <w:lang w:val="en-US"/>
        </w:rPr>
        <w:t>1.</w:t>
      </w:r>
      <w:r>
        <w:rPr>
          <w:rFonts w:ascii="仿宋" w:eastAsia="仿宋" w:hAnsi="仿宋" w:cs="仿宋" w:hint="eastAsia"/>
          <w:b/>
          <w:bCs/>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rsidR="00BA3F0B" w:rsidRDefault="00BA3F0B">
      <w:pPr>
        <w:spacing w:before="78" w:line="290" w:lineRule="auto"/>
        <w:ind w:left="227" w:right="57"/>
        <w:jc w:val="both"/>
        <w:rPr>
          <w:rFonts w:ascii="仿宋" w:eastAsia="仿宋" w:hAnsi="仿宋" w:cs="仿宋"/>
          <w:b/>
          <w:bCs/>
        </w:rPr>
        <w:sectPr w:rsidR="00BA3F0B">
          <w:footerReference w:type="default" r:id="rId22"/>
          <w:pgSz w:w="11906" w:h="16838"/>
          <w:pgMar w:top="1100" w:right="906" w:bottom="770" w:left="1320" w:header="170" w:footer="280" w:gutter="0"/>
          <w:pgNumType w:fmt="numberInDash"/>
          <w:cols w:space="720"/>
          <w:formProt w:val="0"/>
          <w:docGrid w:linePitch="100"/>
        </w:sectPr>
      </w:pPr>
    </w:p>
    <w:tbl>
      <w:tblPr>
        <w:tblW w:w="15273" w:type="dxa"/>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1512"/>
        <w:gridCol w:w="2502"/>
        <w:gridCol w:w="1440"/>
        <w:gridCol w:w="2280"/>
        <w:gridCol w:w="1479"/>
        <w:gridCol w:w="1109"/>
        <w:gridCol w:w="1173"/>
        <w:gridCol w:w="1188"/>
        <w:gridCol w:w="1169"/>
        <w:gridCol w:w="1421"/>
      </w:tblGrid>
      <w:tr w:rsidR="00BA3F0B">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BA3F0B" w:rsidRDefault="00827830">
            <w:pPr>
              <w:pStyle w:val="TableParagraph"/>
              <w:rPr>
                <w:rFonts w:ascii="仿宋" w:eastAsia="仿宋" w:hAnsi="仿宋" w:cs="仿宋"/>
                <w:b/>
                <w:bCs/>
                <w:sz w:val="44"/>
                <w:szCs w:val="44"/>
                <w:lang w:val="en-US"/>
              </w:rPr>
            </w:pPr>
            <w:r>
              <w:rPr>
                <w:rFonts w:ascii="仿宋" w:eastAsia="仿宋" w:hAnsi="仿宋" w:cs="仿宋" w:hint="eastAsia"/>
              </w:rPr>
              <w:t>公开</w:t>
            </w:r>
            <w:r>
              <w:rPr>
                <w:rFonts w:ascii="仿宋" w:eastAsia="仿宋" w:hAnsi="仿宋" w:cs="仿宋" w:hint="eastAsia"/>
              </w:rPr>
              <w:t>1</w:t>
            </w:r>
            <w:r>
              <w:rPr>
                <w:rFonts w:ascii="仿宋" w:eastAsia="仿宋" w:hAnsi="仿宋" w:cs="仿宋" w:hint="eastAsia"/>
                <w:lang w:val="en-US"/>
              </w:rPr>
              <w:t>3</w:t>
            </w:r>
            <w:r>
              <w:rPr>
                <w:rFonts w:ascii="仿宋" w:eastAsia="仿宋" w:hAnsi="仿宋" w:cs="仿宋" w:hint="eastAsia"/>
              </w:rPr>
              <w:t>表</w:t>
            </w:r>
          </w:p>
        </w:tc>
      </w:tr>
      <w:tr w:rsidR="00BA3F0B">
        <w:tc>
          <w:tcPr>
            <w:tcW w:w="15273" w:type="dxa"/>
            <w:gridSpan w:val="10"/>
            <w:tcBorders>
              <w:top w:val="nil"/>
              <w:left w:val="nil"/>
              <w:bottom w:val="nil"/>
              <w:right w:val="nil"/>
            </w:tcBorders>
            <w:shd w:val="clear" w:color="auto" w:fill="FFFFFF"/>
            <w:tcMar>
              <w:top w:w="0" w:type="dxa"/>
              <w:left w:w="0" w:type="dxa"/>
              <w:bottom w:w="0" w:type="dxa"/>
              <w:right w:w="0" w:type="dxa"/>
            </w:tcMar>
            <w:vAlign w:val="center"/>
          </w:tcPr>
          <w:p w:rsidR="00BA3F0B" w:rsidRDefault="00827830">
            <w:pPr>
              <w:pStyle w:val="TableParagraph"/>
              <w:jc w:val="center"/>
              <w:rPr>
                <w:rFonts w:ascii="仿宋" w:eastAsia="仿宋" w:hAnsi="仿宋" w:cs="仿宋"/>
                <w:lang w:val="en-US"/>
              </w:rPr>
            </w:pPr>
            <w:r>
              <w:rPr>
                <w:rFonts w:ascii="仿宋" w:eastAsia="仿宋" w:hAnsi="仿宋" w:cs="仿宋" w:hint="eastAsia"/>
                <w:b/>
                <w:bCs/>
                <w:sz w:val="44"/>
                <w:szCs w:val="44"/>
                <w:lang w:val="en-US"/>
              </w:rPr>
              <w:t>政府采购支出表</w:t>
            </w:r>
          </w:p>
        </w:tc>
      </w:tr>
      <w:tr w:rsidR="00BA3F0B">
        <w:tc>
          <w:tcPr>
            <w:tcW w:w="9213" w:type="dxa"/>
            <w:gridSpan w:val="5"/>
            <w:tcBorders>
              <w:top w:val="nil"/>
              <w:left w:val="nil"/>
              <w:bottom w:val="single" w:sz="4" w:space="0" w:color="auto"/>
              <w:right w:val="nil"/>
            </w:tcBorders>
            <w:shd w:val="clear" w:color="auto" w:fill="FFFFFF"/>
            <w:tcMar>
              <w:top w:w="0" w:type="dxa"/>
              <w:left w:w="0" w:type="dxa"/>
              <w:bottom w:w="0" w:type="dxa"/>
              <w:right w:w="0" w:type="dxa"/>
            </w:tcMar>
            <w:vAlign w:val="center"/>
          </w:tcPr>
          <w:p w:rsidR="00BA3F0B" w:rsidRDefault="00827830">
            <w:pPr>
              <w:pStyle w:val="TableParagraph"/>
              <w:rPr>
                <w:rFonts w:ascii="仿宋" w:eastAsia="仿宋" w:hAnsi="仿宋" w:cs="仿宋"/>
                <w:lang w:val="en-US"/>
              </w:rPr>
            </w:pPr>
            <w:r>
              <w:rPr>
                <w:rFonts w:ascii="仿宋" w:eastAsia="仿宋" w:hAnsi="仿宋" w:cs="仿宋" w:hint="eastAsia"/>
                <w:color w:val="000000"/>
              </w:rPr>
              <w:t>部门</w:t>
            </w:r>
            <w:r>
              <w:rPr>
                <w:rFonts w:ascii="仿宋" w:eastAsia="仿宋" w:hAnsi="仿宋" w:cs="仿宋"/>
                <w:color w:val="000000"/>
              </w:rPr>
              <w:t>：</w:t>
            </w:r>
            <w:r>
              <w:rPr>
                <w:rFonts w:ascii="仿宋" w:eastAsia="仿宋" w:hAnsi="仿宋" w:cs="仿宋" w:hint="eastAsia"/>
              </w:rPr>
              <w:t>无锡市自然资源和规划局</w:t>
            </w:r>
          </w:p>
        </w:tc>
        <w:tc>
          <w:tcPr>
            <w:tcW w:w="4639" w:type="dxa"/>
            <w:gridSpan w:val="4"/>
            <w:tcBorders>
              <w:top w:val="nil"/>
              <w:left w:val="nil"/>
              <w:bottom w:val="single" w:sz="4" w:space="0" w:color="auto"/>
              <w:right w:val="nil"/>
            </w:tcBorders>
            <w:shd w:val="clear" w:color="auto" w:fill="FFFFFF"/>
            <w:tcMar>
              <w:top w:w="0" w:type="dxa"/>
              <w:left w:w="0" w:type="dxa"/>
              <w:bottom w:w="0" w:type="dxa"/>
              <w:right w:w="0" w:type="dxa"/>
            </w:tcMar>
            <w:vAlign w:val="center"/>
          </w:tcPr>
          <w:p w:rsidR="00BA3F0B" w:rsidRDefault="00BA3F0B">
            <w:pPr>
              <w:pStyle w:val="TableParagraph"/>
              <w:rPr>
                <w:rFonts w:ascii="仿宋" w:eastAsia="仿宋" w:hAnsi="仿宋" w:cs="仿宋"/>
                <w:lang w:val="en-US"/>
              </w:rPr>
            </w:pPr>
          </w:p>
        </w:tc>
        <w:tc>
          <w:tcPr>
            <w:tcW w:w="1421" w:type="dxa"/>
            <w:tcBorders>
              <w:top w:val="nil"/>
              <w:left w:val="nil"/>
              <w:bottom w:val="single" w:sz="4" w:space="0" w:color="auto"/>
              <w:right w:val="nil"/>
            </w:tcBorders>
            <w:shd w:val="clear" w:color="auto" w:fill="FFFFFF"/>
            <w:tcMar>
              <w:top w:w="0" w:type="dxa"/>
              <w:left w:w="0" w:type="dxa"/>
              <w:bottom w:w="0" w:type="dxa"/>
              <w:right w:w="0" w:type="dxa"/>
            </w:tcMar>
            <w:vAlign w:val="center"/>
          </w:tcPr>
          <w:p w:rsidR="00BA3F0B" w:rsidRDefault="00827830">
            <w:pPr>
              <w:pStyle w:val="TableParagraph"/>
              <w:jc w:val="right"/>
              <w:rPr>
                <w:rFonts w:ascii="仿宋" w:eastAsia="仿宋" w:hAnsi="仿宋" w:cs="仿宋"/>
                <w:lang w:val="en-US"/>
              </w:rPr>
            </w:pPr>
            <w:r>
              <w:rPr>
                <w:rFonts w:ascii="仿宋" w:eastAsia="仿宋" w:hAnsi="仿宋" w:cs="仿宋" w:hint="eastAsia"/>
              </w:rPr>
              <w:t>单位：万元</w:t>
            </w:r>
          </w:p>
        </w:tc>
      </w:tr>
      <w:tr w:rsidR="00BA3F0B">
        <w:tc>
          <w:tcPr>
            <w:tcW w:w="151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采购品目大类</w:t>
            </w:r>
          </w:p>
        </w:tc>
        <w:tc>
          <w:tcPr>
            <w:tcW w:w="2502"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专项名称</w:t>
            </w:r>
          </w:p>
        </w:tc>
        <w:tc>
          <w:tcPr>
            <w:tcW w:w="144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经济科目</w:t>
            </w:r>
          </w:p>
        </w:tc>
        <w:tc>
          <w:tcPr>
            <w:tcW w:w="2280"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采购品目名称</w:t>
            </w:r>
          </w:p>
        </w:tc>
        <w:tc>
          <w:tcPr>
            <w:tcW w:w="1479"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采购组织形式</w:t>
            </w:r>
          </w:p>
        </w:tc>
        <w:tc>
          <w:tcPr>
            <w:tcW w:w="4639" w:type="dxa"/>
            <w:gridSpan w:val="4"/>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资金来源</w:t>
            </w:r>
          </w:p>
        </w:tc>
        <w:tc>
          <w:tcPr>
            <w:tcW w:w="1421" w:type="dxa"/>
            <w:vMerge w:val="restart"/>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总计</w:t>
            </w:r>
          </w:p>
        </w:tc>
      </w:tr>
      <w:tr w:rsidR="00BA3F0B">
        <w:trPr>
          <w:trHeight w:val="258"/>
        </w:trPr>
        <w:tc>
          <w:tcPr>
            <w:tcW w:w="151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2502"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144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2280"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1479"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lang w:val="en-US"/>
              </w:rPr>
            </w:pPr>
            <w:r>
              <w:rPr>
                <w:rFonts w:ascii="仿宋" w:eastAsia="仿宋" w:hAnsi="仿宋" w:cs="仿宋" w:hint="eastAsia"/>
                <w:lang w:val="en-US"/>
              </w:rPr>
              <w:t>一般公共预算资金</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政府性基金</w:t>
            </w: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其他资金</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上年结转和结余资金</w:t>
            </w:r>
          </w:p>
        </w:tc>
        <w:tc>
          <w:tcPr>
            <w:tcW w:w="1421" w:type="dxa"/>
            <w:vMerge/>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r>
      <w:tr w:rsidR="00BA3F0B">
        <w:trPr>
          <w:trHeight w:val="907"/>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pStyle w:val="TableParagraph"/>
              <w:snapToGrid w:val="0"/>
              <w:spacing w:line="34" w:lineRule="atLeast"/>
              <w:jc w:val="center"/>
              <w:rPr>
                <w:rFonts w:ascii="仿宋" w:eastAsia="仿宋" w:hAnsi="仿宋" w:cs="仿宋"/>
              </w:rPr>
            </w:pPr>
            <w:r>
              <w:rPr>
                <w:rFonts w:ascii="仿宋" w:eastAsia="仿宋" w:hAnsi="仿宋" w:cs="仿宋" w:hint="eastAsia"/>
                <w:lang w:val="en-US"/>
              </w:rPr>
              <w:t>合计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pStyle w:val="TableParagraph"/>
              <w:snapToGrid w:val="0"/>
              <w:spacing w:line="34" w:lineRule="atLeast"/>
              <w:rPr>
                <w:rFonts w:ascii="仿宋" w:eastAsia="仿宋" w:hAnsi="仿宋" w:cs="仿宋"/>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644.35</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7.40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8.40</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660.15</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货物</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18.00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无锡市自然资源交易和服务中心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18.00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土地交易工作推进费</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公务用车购置</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轿车</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18.00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服务</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626.35</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7.40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8.40</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642.15</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无锡市自然资源和规划局（本级）</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419.30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419.30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不动产登记管理项目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委托业务费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114.70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114.70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测绘管理项目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委托业务费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124.80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124.80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信息化运维类项目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维修（护）费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其他运行维护服务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10.50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10.50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电子政务云平台</w:t>
            </w:r>
            <w:r>
              <w:rPr>
                <w:rFonts w:ascii="仿宋" w:eastAsia="仿宋" w:hAnsi="仿宋" w:cs="仿宋" w:hint="eastAsia"/>
                <w:lang w:val="en-US"/>
              </w:rPr>
              <w:t>(</w:t>
            </w:r>
            <w:r>
              <w:rPr>
                <w:rFonts w:ascii="仿宋" w:eastAsia="仿宋" w:hAnsi="仿宋" w:cs="仿宋" w:hint="eastAsia"/>
                <w:lang w:val="en-US"/>
              </w:rPr>
              <w:t>运维类测评</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维修（护）费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其他运行维护服务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2.20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2.20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无锡市国有建设用地使用权网上交易一体化集成（运维类测评）</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维修（护）费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其他运行维护服务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11.20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11.20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无锡市自然资源规划一体化平台（运维类测评）</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维修（护）费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其他运行维护服务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7.30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7.30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无锡市自然资源和规划局机房信息化设备维护项目</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维修（护）费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其他运行维护服务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148.60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148.60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无锡市不动产登记中心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193.25</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193.25</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不动产继承公证调查取证服务</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委托业务费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公证服务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分散采购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186.00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186.00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印刷制作费用</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印刷费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其他印刷服务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3.20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3.20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财产保险服务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0.75</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0.75</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1.86</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1.86</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车辆加油、添加燃料服务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1.44</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1.44</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 xml:space="preserve">    </w:t>
            </w:r>
            <w:r>
              <w:rPr>
                <w:rFonts w:ascii="仿宋" w:eastAsia="仿宋" w:hAnsi="仿宋" w:cs="仿宋" w:hint="eastAsia"/>
                <w:lang w:val="en-US"/>
              </w:rPr>
              <w:t>无锡市林业总站</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2.60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2.60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财产保险服务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0.50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0.50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0.90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0.90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车辆加油、添加燃料服务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1.20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1.20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无锡市自然资源交易和服务中心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11.20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11.20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其他商业保险服务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1.32</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1.32</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3.88</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3.88</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车辆加油、添加燃料服务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6.00</w:t>
            </w: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6.00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无锡市规划设计研究院</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7.40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7.40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财产保险服务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0.66</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0.66</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3.14</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3.14</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车辆加油、添加燃料服务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3.60</w:t>
            </w: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3.60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rPr>
                <w:rFonts w:ascii="仿宋" w:eastAsia="仿宋" w:hAnsi="仿宋" w:cs="仿宋"/>
                <w:lang w:val="en-US"/>
              </w:rPr>
            </w:pPr>
            <w:r>
              <w:rPr>
                <w:rFonts w:ascii="仿宋" w:eastAsia="仿宋" w:hAnsi="仿宋" w:cs="仿宋" w:hint="eastAsia"/>
                <w:lang w:val="en-US"/>
              </w:rPr>
              <w:t>无锡市国土空间规划编制研究中心</w:t>
            </w: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jc w:val="center"/>
              <w:rPr>
                <w:rFonts w:ascii="仿宋" w:eastAsia="仿宋" w:hAnsi="仿宋" w:cs="仿宋"/>
                <w:lang w:val="en-US"/>
              </w:rPr>
            </w:pP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8.40</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8.40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财产保险服务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0.60</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0.60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车辆维修和保养服务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2.70</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2.70</w:t>
            </w:r>
          </w:p>
        </w:tc>
      </w:tr>
      <w:tr w:rsidR="00BA3F0B">
        <w:trPr>
          <w:trHeight w:val="90"/>
        </w:trPr>
        <w:tc>
          <w:tcPr>
            <w:tcW w:w="151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rPr>
                <w:rFonts w:ascii="仿宋" w:eastAsia="仿宋" w:hAnsi="仿宋" w:cs="仿宋"/>
                <w:lang w:val="en-US"/>
              </w:rPr>
            </w:pPr>
          </w:p>
        </w:tc>
        <w:tc>
          <w:tcPr>
            <w:tcW w:w="2502"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商品和服务支出</w:t>
            </w:r>
            <w:r>
              <w:rPr>
                <w:rFonts w:ascii="仿宋" w:eastAsia="仿宋" w:hAnsi="仿宋" w:cs="仿宋" w:hint="eastAsia"/>
                <w:lang w:val="en-US"/>
              </w:rPr>
              <w:t>(</w:t>
            </w:r>
            <w:r>
              <w:rPr>
                <w:rFonts w:ascii="仿宋" w:eastAsia="仿宋" w:hAnsi="仿宋" w:cs="仿宋" w:hint="eastAsia"/>
                <w:lang w:val="en-US"/>
              </w:rPr>
              <w:t>定额非三保</w:t>
            </w:r>
            <w:r>
              <w:rPr>
                <w:rFonts w:ascii="仿宋" w:eastAsia="仿宋" w:hAnsi="仿宋" w:cs="仿宋" w:hint="eastAsia"/>
                <w:lang w:val="en-US"/>
              </w:rPr>
              <w:t>)</w:t>
            </w:r>
          </w:p>
        </w:tc>
        <w:tc>
          <w:tcPr>
            <w:tcW w:w="144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公务用车运行维护费</w:t>
            </w:r>
          </w:p>
        </w:tc>
        <w:tc>
          <w:tcPr>
            <w:tcW w:w="2280"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车辆加油、添加燃料服务</w:t>
            </w:r>
          </w:p>
        </w:tc>
        <w:tc>
          <w:tcPr>
            <w:tcW w:w="147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jc w:val="center"/>
              <w:rPr>
                <w:rFonts w:ascii="仿宋" w:eastAsia="仿宋" w:hAnsi="仿宋" w:cs="仿宋"/>
                <w:lang w:val="en-US"/>
              </w:rPr>
            </w:pPr>
            <w:r>
              <w:rPr>
                <w:rFonts w:ascii="仿宋" w:eastAsia="仿宋" w:hAnsi="仿宋" w:cs="仿宋" w:hint="eastAsia"/>
                <w:lang w:val="en-US"/>
              </w:rPr>
              <w:t>集中采购</w:t>
            </w:r>
          </w:p>
        </w:tc>
        <w:tc>
          <w:tcPr>
            <w:tcW w:w="110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73"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88"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BA3F0B">
            <w:pPr>
              <w:snapToGrid w:val="0"/>
              <w:spacing w:line="34" w:lineRule="atLeast"/>
              <w:ind w:right="57"/>
              <w:jc w:val="right"/>
              <w:rPr>
                <w:rFonts w:ascii="仿宋" w:eastAsia="仿宋" w:hAnsi="仿宋" w:cs="仿宋"/>
                <w:lang w:val="en-US"/>
              </w:rPr>
            </w:pPr>
          </w:p>
        </w:tc>
        <w:tc>
          <w:tcPr>
            <w:tcW w:w="1169"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5.10</w:t>
            </w:r>
          </w:p>
        </w:tc>
        <w:tc>
          <w:tcPr>
            <w:tcW w:w="1421" w:type="dxa"/>
            <w:tcBorders>
              <w:top w:val="single" w:sz="4" w:space="0" w:color="auto"/>
              <w:left w:val="single" w:sz="4" w:space="0" w:color="auto"/>
              <w:bottom w:val="single" w:sz="4" w:space="0" w:color="auto"/>
              <w:right w:val="single" w:sz="4" w:space="0" w:color="auto"/>
            </w:tcBorders>
            <w:shd w:val="clear" w:color="auto" w:fill="FFFFFF"/>
            <w:tcMar>
              <w:top w:w="0" w:type="dxa"/>
              <w:left w:w="0" w:type="dxa"/>
              <w:bottom w:w="0" w:type="dxa"/>
              <w:right w:w="0" w:type="dxa"/>
            </w:tcMar>
            <w:vAlign w:val="center"/>
          </w:tcPr>
          <w:p w:rsidR="00BA3F0B" w:rsidRDefault="00827830">
            <w:pPr>
              <w:snapToGrid w:val="0"/>
              <w:spacing w:line="34" w:lineRule="atLeast"/>
              <w:ind w:right="57"/>
              <w:jc w:val="right"/>
              <w:rPr>
                <w:rFonts w:ascii="仿宋" w:eastAsia="仿宋" w:hAnsi="仿宋" w:cs="仿宋"/>
                <w:lang w:val="en-US"/>
              </w:rPr>
            </w:pPr>
            <w:r>
              <w:rPr>
                <w:rFonts w:ascii="仿宋" w:eastAsia="仿宋" w:hAnsi="仿宋" w:cs="仿宋" w:hint="eastAsia"/>
                <w:lang w:val="en-US"/>
              </w:rPr>
              <w:t>5.10</w:t>
            </w:r>
          </w:p>
        </w:tc>
      </w:tr>
    </w:tbl>
    <w:p w:rsidR="00BA3F0B" w:rsidRDefault="00BA3F0B">
      <w:pPr>
        <w:rPr>
          <w:rFonts w:ascii="仿宋" w:eastAsia="仿宋" w:hAnsi="仿宋" w:cs="仿宋"/>
          <w:b/>
          <w:bCs/>
        </w:rPr>
        <w:sectPr w:rsidR="00BA3F0B">
          <w:footerReference w:type="default" r:id="rId23"/>
          <w:pgSz w:w="16838" w:h="11906" w:orient="landscape"/>
          <w:pgMar w:top="1320" w:right="771" w:bottom="1320" w:left="770" w:header="170" w:footer="280" w:gutter="0"/>
          <w:pgNumType w:fmt="numberInDash"/>
          <w:cols w:space="720"/>
          <w:formProt w:val="0"/>
          <w:docGrid w:linePitch="100"/>
        </w:sectPr>
      </w:pPr>
    </w:p>
    <w:p w:rsidR="00BA3F0B" w:rsidRDefault="00827830">
      <w:pPr>
        <w:pStyle w:val="4"/>
        <w:tabs>
          <w:tab w:val="left" w:pos="3077"/>
        </w:tabs>
        <w:spacing w:line="616" w:lineRule="exact"/>
      </w:pPr>
      <w:r>
        <w:rPr>
          <w:rFonts w:ascii="仿宋" w:eastAsia="仿宋" w:hAnsi="仿宋" w:cs="仿宋" w:hint="eastAsia"/>
          <w:b/>
          <w:bCs/>
          <w:sz w:val="44"/>
          <w:szCs w:val="44"/>
        </w:rPr>
        <w:t>第三部分</w:t>
      </w:r>
      <w:r>
        <w:rPr>
          <w:rFonts w:ascii="仿宋" w:eastAsia="仿宋" w:hAnsi="仿宋" w:cs="仿宋" w:hint="eastAsia"/>
          <w:b/>
          <w:bCs/>
          <w:sz w:val="44"/>
          <w:szCs w:val="44"/>
          <w:lang w:val="en-US"/>
        </w:rPr>
        <w:t xml:space="preserve"> </w:t>
      </w:r>
      <w:r>
        <w:rPr>
          <w:rFonts w:ascii="仿宋" w:eastAsia="仿宋" w:hAnsi="仿宋" w:cs="仿宋" w:hint="eastAsia"/>
          <w:b/>
          <w:bCs/>
          <w:sz w:val="44"/>
          <w:szCs w:val="44"/>
        </w:rPr>
        <w:t>2026</w:t>
      </w:r>
      <w:r>
        <w:rPr>
          <w:rFonts w:ascii="仿宋" w:eastAsia="仿宋" w:hAnsi="仿宋" w:cs="仿宋" w:hint="eastAsia"/>
          <w:b/>
          <w:bCs/>
          <w:sz w:val="44"/>
          <w:szCs w:val="44"/>
        </w:rPr>
        <w:t>年度</w:t>
      </w:r>
      <w:r>
        <w:rPr>
          <w:rFonts w:ascii="仿宋" w:eastAsia="仿宋" w:hAnsi="仿宋" w:cs="仿宋"/>
          <w:b/>
          <w:sz w:val="44"/>
        </w:rPr>
        <w:t>部门</w:t>
      </w:r>
      <w:r>
        <w:rPr>
          <w:rFonts w:ascii="仿宋" w:eastAsia="仿宋" w:hAnsi="仿宋" w:cs="仿宋" w:hint="eastAsia"/>
          <w:b/>
          <w:bCs/>
          <w:sz w:val="44"/>
          <w:szCs w:val="44"/>
        </w:rPr>
        <w:t>预算</w:t>
      </w:r>
      <w:r>
        <w:rPr>
          <w:rFonts w:ascii="仿宋" w:eastAsia="仿宋" w:hAnsi="仿宋" w:cs="仿宋" w:hint="eastAsia"/>
          <w:b/>
          <w:bCs/>
          <w:sz w:val="44"/>
          <w:szCs w:val="44"/>
        </w:rPr>
        <w:t>情况说明</w:t>
      </w:r>
    </w:p>
    <w:p w:rsidR="00BA3F0B" w:rsidRDefault="00BA3F0B">
      <w:pPr>
        <w:pStyle w:val="a4"/>
        <w:tabs>
          <w:tab w:val="left" w:pos="3864"/>
          <w:tab w:val="left" w:pos="6248"/>
          <w:tab w:val="left" w:pos="7386"/>
        </w:tabs>
        <w:spacing w:before="1" w:line="360" w:lineRule="auto"/>
        <w:ind w:left="348" w:right="420" w:firstLine="640"/>
        <w:jc w:val="both"/>
        <w:rPr>
          <w:rFonts w:ascii="仿宋" w:eastAsia="仿宋" w:hAnsi="仿宋" w:cs="仿宋"/>
          <w:lang w:val="en-US"/>
        </w:rPr>
      </w:pP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一、收支预算总体情况说明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年度收入、支出预算总计</w:t>
      </w:r>
      <w:r>
        <w:rPr>
          <w:rFonts w:ascii="仿宋" w:eastAsia="仿宋" w:hAnsi="仿宋" w:cs="仿宋"/>
        </w:rPr>
        <w:t>55,354.12</w:t>
      </w:r>
      <w:r>
        <w:rPr>
          <w:rFonts w:ascii="仿宋" w:eastAsia="仿宋" w:hAnsi="仿宋" w:cs="仿宋"/>
        </w:rPr>
        <w:t>万元，与上年相比收、支预算总计各增加</w:t>
      </w:r>
      <w:r>
        <w:rPr>
          <w:rFonts w:ascii="仿宋" w:eastAsia="仿宋" w:hAnsi="仿宋" w:cs="仿宋"/>
        </w:rPr>
        <w:t>10,328.73</w:t>
      </w:r>
      <w:r>
        <w:rPr>
          <w:rFonts w:ascii="仿宋" w:eastAsia="仿宋" w:hAnsi="仿宋" w:cs="仿宋"/>
        </w:rPr>
        <w:t>万元，增长</w:t>
      </w:r>
      <w:r>
        <w:rPr>
          <w:rFonts w:ascii="仿宋" w:eastAsia="仿宋" w:hAnsi="仿宋" w:cs="仿宋"/>
        </w:rPr>
        <w:t>22.94%</w:t>
      </w:r>
      <w:r>
        <w:rPr>
          <w:rFonts w:ascii="仿宋" w:eastAsia="仿宋" w:hAnsi="仿宋" w:cs="仿宋"/>
        </w:rPr>
        <w:t>。其中：</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（一）收入预算总计</w:t>
      </w:r>
      <w:r>
        <w:rPr>
          <w:rFonts w:ascii="仿宋" w:eastAsia="仿宋" w:hAnsi="仿宋" w:cs="仿宋"/>
          <w:b/>
        </w:rPr>
        <w:t>55,354.12</w:t>
      </w:r>
      <w:r>
        <w:rPr>
          <w:rFonts w:ascii="仿宋" w:eastAsia="仿宋" w:hAnsi="仿宋" w:cs="仿宋"/>
          <w:b/>
        </w:rPr>
        <w:t>万元。包括：</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．本年收入合计</w:t>
      </w:r>
      <w:r>
        <w:rPr>
          <w:rFonts w:ascii="仿宋" w:eastAsia="仿宋" w:hAnsi="仿宋" w:cs="仿宋"/>
        </w:rPr>
        <w:t>54,332.88</w:t>
      </w:r>
      <w:r>
        <w:rPr>
          <w:rFonts w:ascii="仿宋" w:eastAsia="仿宋" w:hAnsi="仿宋" w:cs="仿宋"/>
        </w:rPr>
        <w:t>万元。</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）一般公共预算拨款收入</w:t>
      </w:r>
      <w:r>
        <w:rPr>
          <w:rFonts w:ascii="仿宋" w:eastAsia="仿宋" w:hAnsi="仿宋" w:cs="仿宋"/>
        </w:rPr>
        <w:t>45,053.98</w:t>
      </w:r>
      <w:r>
        <w:rPr>
          <w:rFonts w:ascii="仿宋" w:eastAsia="仿宋" w:hAnsi="仿宋" w:cs="仿宋"/>
        </w:rPr>
        <w:t>万元，与上年相比增加</w:t>
      </w:r>
      <w:r>
        <w:rPr>
          <w:rFonts w:ascii="仿宋" w:eastAsia="仿宋" w:hAnsi="仿宋" w:cs="仿宋"/>
        </w:rPr>
        <w:t>1,128.59</w:t>
      </w:r>
      <w:r>
        <w:rPr>
          <w:rFonts w:ascii="仿宋" w:eastAsia="仿宋" w:hAnsi="仿宋" w:cs="仿宋"/>
        </w:rPr>
        <w:t>万元，增长</w:t>
      </w:r>
      <w:r>
        <w:rPr>
          <w:rFonts w:ascii="仿宋" w:eastAsia="仿宋" w:hAnsi="仿宋" w:cs="仿宋"/>
        </w:rPr>
        <w:t>2.57%</w:t>
      </w:r>
      <w:r>
        <w:rPr>
          <w:rFonts w:ascii="仿宋" w:eastAsia="仿宋" w:hAnsi="仿宋" w:cs="仿宋"/>
        </w:rPr>
        <w:t>。主要原因是增加城市展示馆租赁运营等项目。</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）政府性基金预算拨款收入</w:t>
      </w:r>
      <w:r>
        <w:rPr>
          <w:rFonts w:ascii="仿宋" w:eastAsia="仿宋" w:hAnsi="仿宋" w:cs="仿宋"/>
        </w:rPr>
        <w:t>0</w:t>
      </w:r>
      <w:r>
        <w:rPr>
          <w:rFonts w:ascii="仿宋" w:eastAsia="仿宋" w:hAnsi="仿宋" w:cs="仿宋"/>
        </w:rPr>
        <w:t>万元，与上年相比减少</w:t>
      </w:r>
      <w:r>
        <w:rPr>
          <w:rFonts w:ascii="仿宋" w:eastAsia="仿宋" w:hAnsi="仿宋" w:cs="仿宋"/>
        </w:rPr>
        <w:t>1,000</w:t>
      </w:r>
      <w:r>
        <w:rPr>
          <w:rFonts w:ascii="仿宋" w:eastAsia="仿宋" w:hAnsi="仿宋" w:cs="仿宋"/>
        </w:rPr>
        <w:t>万元，减少</w:t>
      </w:r>
      <w:r>
        <w:rPr>
          <w:rFonts w:ascii="仿宋" w:eastAsia="仿宋" w:hAnsi="仿宋" w:cs="仿宋"/>
        </w:rPr>
        <w:t>100%</w:t>
      </w:r>
      <w:r>
        <w:rPr>
          <w:rFonts w:ascii="仿宋" w:eastAsia="仿宋" w:hAnsi="仿宋" w:cs="仿宋"/>
        </w:rPr>
        <w:t>。主要原因是</w:t>
      </w:r>
      <w:r>
        <w:rPr>
          <w:rFonts w:ascii="仿宋" w:eastAsia="仿宋" w:hAnsi="仿宋" w:cs="仿宋"/>
        </w:rPr>
        <w:t>26</w:t>
      </w:r>
      <w:r>
        <w:rPr>
          <w:rFonts w:ascii="仿宋" w:eastAsia="仿宋" w:hAnsi="仿宋" w:cs="仿宋"/>
        </w:rPr>
        <w:t>年政府性基金预算拨款收入中的乡村土地利用与发展项目未安排，故减少。</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）国有资本经营预算拨款收入</w:t>
      </w:r>
      <w:r>
        <w:rPr>
          <w:rFonts w:ascii="仿宋" w:eastAsia="仿宋" w:hAnsi="仿宋" w:cs="仿宋"/>
        </w:rPr>
        <w:t>0</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）财政专户管理资金收入</w:t>
      </w:r>
      <w:r>
        <w:rPr>
          <w:rFonts w:ascii="仿宋" w:eastAsia="仿宋" w:hAnsi="仿宋" w:cs="仿宋"/>
        </w:rPr>
        <w:t>0</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5</w:t>
      </w:r>
      <w:r>
        <w:rPr>
          <w:rFonts w:ascii="仿宋" w:eastAsia="仿宋" w:hAnsi="仿宋" w:cs="仿宋"/>
        </w:rPr>
        <w:t>）事业收入</w:t>
      </w:r>
      <w:r>
        <w:rPr>
          <w:rFonts w:ascii="仿宋" w:eastAsia="仿宋" w:hAnsi="仿宋" w:cs="仿宋"/>
        </w:rPr>
        <w:t>0</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6</w:t>
      </w:r>
      <w:r>
        <w:rPr>
          <w:rFonts w:ascii="仿宋" w:eastAsia="仿宋" w:hAnsi="仿宋" w:cs="仿宋"/>
        </w:rPr>
        <w:t>）事业单位经营收入</w:t>
      </w:r>
      <w:r>
        <w:rPr>
          <w:rFonts w:ascii="仿宋" w:eastAsia="仿宋" w:hAnsi="仿宋" w:cs="仿宋"/>
        </w:rPr>
        <w:t>9,178.9</w:t>
      </w:r>
      <w:r>
        <w:rPr>
          <w:rFonts w:ascii="仿宋" w:eastAsia="仿宋" w:hAnsi="仿宋" w:cs="仿宋"/>
        </w:rPr>
        <w:t>万元，与上年相比增加</w:t>
      </w:r>
      <w:r>
        <w:rPr>
          <w:rFonts w:ascii="仿宋" w:eastAsia="仿宋" w:hAnsi="仿宋" w:cs="仿宋"/>
        </w:rPr>
        <w:t>9,178.9</w:t>
      </w:r>
      <w:r>
        <w:rPr>
          <w:rFonts w:ascii="仿宋" w:eastAsia="仿宋" w:hAnsi="仿宋" w:cs="仿宋"/>
        </w:rPr>
        <w:t>万元（去年预算数为</w:t>
      </w:r>
      <w:r>
        <w:rPr>
          <w:rFonts w:ascii="仿宋" w:eastAsia="仿宋" w:hAnsi="仿宋" w:cs="仿宋"/>
        </w:rPr>
        <w:t>0</w:t>
      </w:r>
      <w:r>
        <w:rPr>
          <w:rFonts w:ascii="仿宋" w:eastAsia="仿宋" w:hAnsi="仿宋" w:cs="仿宋"/>
        </w:rPr>
        <w:t>万元，无法计算增减比率）。主要原因是新增加两个预算单位，两个单位都用该收入保障人员、办公经费等支出。</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7</w:t>
      </w:r>
      <w:r>
        <w:rPr>
          <w:rFonts w:ascii="仿宋" w:eastAsia="仿宋" w:hAnsi="仿宋" w:cs="仿宋"/>
        </w:rPr>
        <w:t>）上级补助收入</w:t>
      </w:r>
      <w:r>
        <w:rPr>
          <w:rFonts w:ascii="仿宋" w:eastAsia="仿宋" w:hAnsi="仿宋" w:cs="仿宋"/>
        </w:rPr>
        <w:t>0</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8</w:t>
      </w:r>
      <w:r>
        <w:rPr>
          <w:rFonts w:ascii="仿宋" w:eastAsia="仿宋" w:hAnsi="仿宋" w:cs="仿宋"/>
        </w:rPr>
        <w:t>）附属单位上缴收入</w:t>
      </w:r>
      <w:r>
        <w:rPr>
          <w:rFonts w:ascii="仿宋" w:eastAsia="仿宋" w:hAnsi="仿宋" w:cs="仿宋"/>
        </w:rPr>
        <w:t>0</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9</w:t>
      </w:r>
      <w:r>
        <w:rPr>
          <w:rFonts w:ascii="仿宋" w:eastAsia="仿宋" w:hAnsi="仿宋" w:cs="仿宋"/>
        </w:rPr>
        <w:t>）其他收入</w:t>
      </w:r>
      <w:r>
        <w:rPr>
          <w:rFonts w:ascii="仿宋" w:eastAsia="仿宋" w:hAnsi="仿宋" w:cs="仿宋"/>
        </w:rPr>
        <w:t>100</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．上年结转结余为</w:t>
      </w:r>
      <w:r>
        <w:rPr>
          <w:rFonts w:ascii="仿宋" w:eastAsia="仿宋" w:hAnsi="仿宋" w:cs="仿宋"/>
        </w:rPr>
        <w:t>1,021.24</w:t>
      </w:r>
      <w:r>
        <w:rPr>
          <w:rFonts w:ascii="仿宋" w:eastAsia="仿宋" w:hAnsi="仿宋" w:cs="仿宋"/>
        </w:rPr>
        <w:t>万元。与上年相比增加</w:t>
      </w:r>
      <w:r>
        <w:rPr>
          <w:rFonts w:ascii="仿宋" w:eastAsia="仿宋" w:hAnsi="仿宋" w:cs="仿宋"/>
        </w:rPr>
        <w:t>1,021.24</w:t>
      </w:r>
      <w:r>
        <w:rPr>
          <w:rFonts w:ascii="仿宋" w:eastAsia="仿宋" w:hAnsi="仿宋" w:cs="仿宋"/>
        </w:rPr>
        <w:t>万元（去年预算数为</w:t>
      </w:r>
      <w:r>
        <w:rPr>
          <w:rFonts w:ascii="仿宋" w:eastAsia="仿宋" w:hAnsi="仿宋" w:cs="仿宋"/>
        </w:rPr>
        <w:t>0</w:t>
      </w:r>
      <w:r>
        <w:rPr>
          <w:rFonts w:ascii="仿宋" w:eastAsia="仿宋" w:hAnsi="仿宋" w:cs="仿宋"/>
        </w:rPr>
        <w:t>万元，无法计算增减比率）。主要原因是新增加两个预算单位都用上年度结转结余资金保障单位工作项目支出。</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（二）支出预算总计</w:t>
      </w:r>
      <w:r>
        <w:rPr>
          <w:rFonts w:ascii="仿宋" w:eastAsia="仿宋" w:hAnsi="仿宋" w:cs="仿宋"/>
          <w:b/>
        </w:rPr>
        <w:t>55,354.12</w:t>
      </w:r>
      <w:r>
        <w:rPr>
          <w:rFonts w:ascii="仿宋" w:eastAsia="仿宋" w:hAnsi="仿宋" w:cs="仿宋"/>
          <w:b/>
        </w:rPr>
        <w:t>万元。包括：</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．本年支出合计</w:t>
      </w:r>
      <w:r>
        <w:rPr>
          <w:rFonts w:ascii="仿宋" w:eastAsia="仿宋" w:hAnsi="仿宋" w:cs="仿宋"/>
        </w:rPr>
        <w:t>55,354.12</w:t>
      </w:r>
      <w:r>
        <w:rPr>
          <w:rFonts w:ascii="仿宋" w:eastAsia="仿宋" w:hAnsi="仿宋" w:cs="仿宋"/>
        </w:rPr>
        <w:t>万元。</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）社会保障和就业支出（类）支出</w:t>
      </w:r>
      <w:r>
        <w:rPr>
          <w:rFonts w:ascii="仿宋" w:eastAsia="仿宋" w:hAnsi="仿宋" w:cs="仿宋"/>
        </w:rPr>
        <w:t>1,357.23</w:t>
      </w:r>
      <w:r>
        <w:rPr>
          <w:rFonts w:ascii="仿宋" w:eastAsia="仿宋" w:hAnsi="仿宋" w:cs="仿宋"/>
        </w:rPr>
        <w:t>万元，主要用于机关事业单位人员基本养老金、</w:t>
      </w:r>
      <w:r>
        <w:rPr>
          <w:rFonts w:ascii="仿宋" w:eastAsia="仿宋" w:hAnsi="仿宋" w:cs="仿宋"/>
        </w:rPr>
        <w:t>年金支出。与上年相比增加</w:t>
      </w:r>
      <w:r>
        <w:rPr>
          <w:rFonts w:ascii="仿宋" w:eastAsia="仿宋" w:hAnsi="仿宋" w:cs="仿宋"/>
        </w:rPr>
        <w:t>427.5</w:t>
      </w:r>
      <w:r>
        <w:rPr>
          <w:rFonts w:ascii="仿宋" w:eastAsia="仿宋" w:hAnsi="仿宋" w:cs="仿宋"/>
        </w:rPr>
        <w:t>万元，增长</w:t>
      </w:r>
      <w:r>
        <w:rPr>
          <w:rFonts w:ascii="仿宋" w:eastAsia="仿宋" w:hAnsi="仿宋" w:cs="仿宋"/>
        </w:rPr>
        <w:t>45.98%</w:t>
      </w:r>
      <w:r>
        <w:rPr>
          <w:rFonts w:ascii="仿宋" w:eastAsia="仿宋" w:hAnsi="仿宋" w:cs="仿宋"/>
        </w:rPr>
        <w:t>。主要原因是新增加两个预算单位，人员增加，故缴费金额增加。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）卫生健康支出（类）支出</w:t>
      </w:r>
      <w:r>
        <w:rPr>
          <w:rFonts w:ascii="仿宋" w:eastAsia="仿宋" w:hAnsi="仿宋" w:cs="仿宋"/>
        </w:rPr>
        <w:t>401.21</w:t>
      </w:r>
      <w:r>
        <w:rPr>
          <w:rFonts w:ascii="仿宋" w:eastAsia="仿宋" w:hAnsi="仿宋" w:cs="仿宋"/>
        </w:rPr>
        <w:t>万元，主要用于机关事业单位人员医疗支出。与上年相比增加</w:t>
      </w:r>
      <w:r>
        <w:rPr>
          <w:rFonts w:ascii="仿宋" w:eastAsia="仿宋" w:hAnsi="仿宋" w:cs="仿宋"/>
        </w:rPr>
        <w:t>85.01</w:t>
      </w:r>
      <w:r>
        <w:rPr>
          <w:rFonts w:ascii="仿宋" w:eastAsia="仿宋" w:hAnsi="仿宋" w:cs="仿宋"/>
        </w:rPr>
        <w:t>万元，增长</w:t>
      </w:r>
      <w:r>
        <w:rPr>
          <w:rFonts w:ascii="仿宋" w:eastAsia="仿宋" w:hAnsi="仿宋" w:cs="仿宋"/>
        </w:rPr>
        <w:t>26.88%</w:t>
      </w:r>
      <w:r>
        <w:rPr>
          <w:rFonts w:ascii="仿宋" w:eastAsia="仿宋" w:hAnsi="仿宋" w:cs="仿宋"/>
        </w:rPr>
        <w:t>。主要原因是新增加两个预算单位，人员增加，故缴费金额增加。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3</w:t>
      </w:r>
      <w:r>
        <w:rPr>
          <w:rFonts w:ascii="仿宋" w:eastAsia="仿宋" w:hAnsi="仿宋" w:cs="仿宋"/>
        </w:rPr>
        <w:t>）城乡社区支出（类）支出</w:t>
      </w:r>
      <w:r>
        <w:rPr>
          <w:rFonts w:ascii="仿宋" w:eastAsia="仿宋" w:hAnsi="仿宋" w:cs="仿宋"/>
        </w:rPr>
        <w:t>31,760.15</w:t>
      </w:r>
      <w:r>
        <w:rPr>
          <w:rFonts w:ascii="仿宋" w:eastAsia="仿宋" w:hAnsi="仿宋" w:cs="仿宋"/>
        </w:rPr>
        <w:t>万元，主要用于景区日常运维管理费、事业单位工作项目经费等。与上年相比减少</w:t>
      </w:r>
      <w:r>
        <w:rPr>
          <w:rFonts w:ascii="仿宋" w:eastAsia="仿宋" w:hAnsi="仿宋" w:cs="仿宋"/>
        </w:rPr>
        <w:t>932.2</w:t>
      </w:r>
      <w:r>
        <w:rPr>
          <w:rFonts w:ascii="仿宋" w:eastAsia="仿宋" w:hAnsi="仿宋" w:cs="仿宋"/>
        </w:rPr>
        <w:t>万元，减少</w:t>
      </w:r>
      <w:r>
        <w:rPr>
          <w:rFonts w:ascii="仿宋" w:eastAsia="仿宋" w:hAnsi="仿宋" w:cs="仿宋"/>
        </w:rPr>
        <w:t>2.85%</w:t>
      </w:r>
      <w:r>
        <w:rPr>
          <w:rFonts w:ascii="仿宋" w:eastAsia="仿宋" w:hAnsi="仿宋" w:cs="仿宋"/>
        </w:rPr>
        <w:t>。主要原因是减少乡村土地利用与发展项目。</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4</w:t>
      </w:r>
      <w:r>
        <w:rPr>
          <w:rFonts w:ascii="仿宋" w:eastAsia="仿宋" w:hAnsi="仿宋" w:cs="仿宋"/>
        </w:rPr>
        <w:t>）农林水支出（类</w:t>
      </w:r>
      <w:r>
        <w:rPr>
          <w:rFonts w:ascii="仿宋" w:eastAsia="仿宋" w:hAnsi="仿宋" w:cs="仿宋"/>
        </w:rPr>
        <w:t>）支出</w:t>
      </w:r>
      <w:r>
        <w:rPr>
          <w:rFonts w:ascii="仿宋" w:eastAsia="仿宋" w:hAnsi="仿宋" w:cs="仿宋"/>
        </w:rPr>
        <w:t>313.11</w:t>
      </w:r>
      <w:r>
        <w:rPr>
          <w:rFonts w:ascii="仿宋" w:eastAsia="仿宋" w:hAnsi="仿宋" w:cs="仿宋"/>
        </w:rPr>
        <w:t>万元，主要用于</w:t>
      </w:r>
      <w:r>
        <w:rPr>
          <w:rFonts w:ascii="仿宋" w:eastAsia="仿宋" w:hAnsi="仿宋" w:cs="仿宋"/>
        </w:rPr>
        <w:t>1</w:t>
      </w:r>
      <w:r>
        <w:rPr>
          <w:rFonts w:ascii="仿宋" w:eastAsia="仿宋" w:hAnsi="仿宋" w:cs="仿宋"/>
        </w:rPr>
        <w:t>、事业单位人员支出、办公经费，</w:t>
      </w:r>
      <w:r>
        <w:rPr>
          <w:rFonts w:ascii="仿宋" w:eastAsia="仿宋" w:hAnsi="仿宋" w:cs="仿宋"/>
        </w:rPr>
        <w:t>2</w:t>
      </w:r>
      <w:r>
        <w:rPr>
          <w:rFonts w:ascii="仿宋" w:eastAsia="仿宋" w:hAnsi="仿宋" w:cs="仿宋"/>
        </w:rPr>
        <w:t>、林业工作项目经费。与上年相比减少</w:t>
      </w:r>
      <w:r>
        <w:rPr>
          <w:rFonts w:ascii="仿宋" w:eastAsia="仿宋" w:hAnsi="仿宋" w:cs="仿宋"/>
        </w:rPr>
        <w:t>303.86</w:t>
      </w:r>
      <w:r>
        <w:rPr>
          <w:rFonts w:ascii="仿宋" w:eastAsia="仿宋" w:hAnsi="仿宋" w:cs="仿宋"/>
        </w:rPr>
        <w:t>万元，减少</w:t>
      </w:r>
      <w:r>
        <w:rPr>
          <w:rFonts w:ascii="仿宋" w:eastAsia="仿宋" w:hAnsi="仿宋" w:cs="仿宋"/>
        </w:rPr>
        <w:t>49.25%</w:t>
      </w:r>
      <w:r>
        <w:rPr>
          <w:rFonts w:ascii="仿宋" w:eastAsia="仿宋" w:hAnsi="仿宋" w:cs="仿宋"/>
        </w:rPr>
        <w:t>。主要原因是减少由森林植被恢复费安排的工作项目。</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5</w:t>
      </w:r>
      <w:r>
        <w:rPr>
          <w:rFonts w:ascii="仿宋" w:eastAsia="仿宋" w:hAnsi="仿宋" w:cs="仿宋"/>
        </w:rPr>
        <w:t>）自然资源海洋气象等支出（类）支出</w:t>
      </w:r>
      <w:r>
        <w:rPr>
          <w:rFonts w:ascii="仿宋" w:eastAsia="仿宋" w:hAnsi="仿宋" w:cs="仿宋"/>
        </w:rPr>
        <w:t>15,702.22</w:t>
      </w:r>
      <w:r>
        <w:rPr>
          <w:rFonts w:ascii="仿宋" w:eastAsia="仿宋" w:hAnsi="仿宋" w:cs="仿宋"/>
        </w:rPr>
        <w:t>万元，主要用于人员支出、公用经费及国有土地管理专项方面的项目支出。与上年相比增加</w:t>
      </w:r>
      <w:r>
        <w:rPr>
          <w:rFonts w:ascii="仿宋" w:eastAsia="仿宋" w:hAnsi="仿宋" w:cs="仿宋"/>
        </w:rPr>
        <w:t>7,273.43</w:t>
      </w:r>
      <w:r>
        <w:rPr>
          <w:rFonts w:ascii="仿宋" w:eastAsia="仿宋" w:hAnsi="仿宋" w:cs="仿宋"/>
        </w:rPr>
        <w:t>万元，增长</w:t>
      </w:r>
      <w:r>
        <w:rPr>
          <w:rFonts w:ascii="仿宋" w:eastAsia="仿宋" w:hAnsi="仿宋" w:cs="仿宋"/>
        </w:rPr>
        <w:t>86.29%</w:t>
      </w:r>
      <w:r>
        <w:rPr>
          <w:rFonts w:ascii="仿宋" w:eastAsia="仿宋" w:hAnsi="仿宋" w:cs="仿宋"/>
        </w:rPr>
        <w:t>。主要原因是新增两个预算单位，人员经费、公用经费相应增加，故支出增加。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6</w:t>
      </w:r>
      <w:r>
        <w:rPr>
          <w:rFonts w:ascii="仿宋" w:eastAsia="仿宋" w:hAnsi="仿宋" w:cs="仿宋"/>
        </w:rPr>
        <w:t>）住房保障支出（类）支出</w:t>
      </w:r>
      <w:r>
        <w:rPr>
          <w:rFonts w:ascii="仿宋" w:eastAsia="仿宋" w:hAnsi="仿宋" w:cs="仿宋"/>
        </w:rPr>
        <w:t>3,145.2</w:t>
      </w:r>
      <w:r>
        <w:rPr>
          <w:rFonts w:ascii="仿宋" w:eastAsia="仿宋" w:hAnsi="仿宋" w:cs="仿宋"/>
        </w:rPr>
        <w:t>万元，主要用于机关事业单位人员的住房公积金、提租补贴、购房补贴支出。与上年相比增加</w:t>
      </w:r>
      <w:r>
        <w:rPr>
          <w:rFonts w:ascii="仿宋" w:eastAsia="仿宋" w:hAnsi="仿宋" w:cs="仿宋"/>
        </w:rPr>
        <w:t>1,103.85</w:t>
      </w:r>
      <w:r>
        <w:rPr>
          <w:rFonts w:ascii="仿宋" w:eastAsia="仿宋" w:hAnsi="仿宋" w:cs="仿宋"/>
        </w:rPr>
        <w:t>万元，增长</w:t>
      </w:r>
      <w:r>
        <w:rPr>
          <w:rFonts w:ascii="仿宋" w:eastAsia="仿宋" w:hAnsi="仿宋" w:cs="仿宋"/>
        </w:rPr>
        <w:t>54.07%</w:t>
      </w:r>
      <w:r>
        <w:rPr>
          <w:rFonts w:ascii="仿宋" w:eastAsia="仿宋" w:hAnsi="仿宋" w:cs="仿宋"/>
        </w:rPr>
        <w:t>。主要原因是新增加两个预算单位，人员增加，故缴费金额增加。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7</w:t>
      </w:r>
      <w:r>
        <w:rPr>
          <w:rFonts w:ascii="仿宋" w:eastAsia="仿宋" w:hAnsi="仿宋" w:cs="仿宋"/>
        </w:rPr>
        <w:t>）灾害防治及应急管理支出（类）支出</w:t>
      </w:r>
      <w:r>
        <w:rPr>
          <w:rFonts w:ascii="仿宋" w:eastAsia="仿宋" w:hAnsi="仿宋" w:cs="仿宋"/>
        </w:rPr>
        <w:t>2,675</w:t>
      </w:r>
      <w:r>
        <w:rPr>
          <w:rFonts w:ascii="仿宋" w:eastAsia="仿宋" w:hAnsi="仿宋" w:cs="仿宋"/>
        </w:rPr>
        <w:t>万元，主要用于公园景区的安全防范支出项目。与上年相比增加</w:t>
      </w:r>
      <w:r>
        <w:rPr>
          <w:rFonts w:ascii="仿宋" w:eastAsia="仿宋" w:hAnsi="仿宋" w:cs="仿宋"/>
        </w:rPr>
        <w:t>2,675</w:t>
      </w:r>
      <w:r>
        <w:rPr>
          <w:rFonts w:ascii="仿宋" w:eastAsia="仿宋" w:hAnsi="仿宋" w:cs="仿宋"/>
        </w:rPr>
        <w:t>万元（去年预算数为</w:t>
      </w:r>
      <w:r>
        <w:rPr>
          <w:rFonts w:ascii="仿宋" w:eastAsia="仿宋" w:hAnsi="仿宋" w:cs="仿宋"/>
        </w:rPr>
        <w:t>0</w:t>
      </w:r>
      <w:r>
        <w:rPr>
          <w:rFonts w:ascii="仿宋" w:eastAsia="仿宋" w:hAnsi="仿宋" w:cs="仿宋"/>
        </w:rPr>
        <w:t>万元，无法计算增减比率）。主要原因是增加公园景区的安全防范支出项目（景区安保费用、景区安全生产费等工作项目）。</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．年终结转结余为</w:t>
      </w:r>
      <w:r>
        <w:rPr>
          <w:rFonts w:ascii="仿宋" w:eastAsia="仿宋" w:hAnsi="仿宋" w:cs="仿宋"/>
        </w:rPr>
        <w:t>0</w:t>
      </w:r>
      <w:r>
        <w:rPr>
          <w:rFonts w:ascii="仿宋" w:eastAsia="仿宋" w:hAnsi="仿宋" w:cs="仿宋"/>
        </w:rPr>
        <w:t>万元。</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二、收入预算情况</w:t>
      </w:r>
      <w:r>
        <w:rPr>
          <w:rFonts w:ascii="仿宋" w:eastAsia="仿宋" w:hAnsi="仿宋" w:cs="仿宋"/>
          <w:b/>
        </w:rPr>
        <w:t>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年收入预算合计</w:t>
      </w:r>
      <w:r>
        <w:rPr>
          <w:rFonts w:ascii="仿宋" w:eastAsia="仿宋" w:hAnsi="仿宋" w:cs="仿宋"/>
        </w:rPr>
        <w:t>55,354.12</w:t>
      </w:r>
      <w:r>
        <w:rPr>
          <w:rFonts w:ascii="仿宋" w:eastAsia="仿宋" w:hAnsi="仿宋" w:cs="仿宋"/>
        </w:rPr>
        <w:t>万元，包括本年收入</w:t>
      </w:r>
      <w:r>
        <w:rPr>
          <w:rFonts w:ascii="仿宋" w:eastAsia="仿宋" w:hAnsi="仿宋" w:cs="仿宋"/>
        </w:rPr>
        <w:t>54,332.88</w:t>
      </w:r>
      <w:r>
        <w:rPr>
          <w:rFonts w:ascii="仿宋" w:eastAsia="仿宋" w:hAnsi="仿宋" w:cs="仿宋"/>
        </w:rPr>
        <w:t>万元，上年结转结余</w:t>
      </w:r>
      <w:r>
        <w:rPr>
          <w:rFonts w:ascii="仿宋" w:eastAsia="仿宋" w:hAnsi="仿宋" w:cs="仿宋"/>
        </w:rPr>
        <w:t>1,021.24</w:t>
      </w:r>
      <w:r>
        <w:rPr>
          <w:rFonts w:ascii="仿宋" w:eastAsia="仿宋" w:hAnsi="仿宋" w:cs="仿宋"/>
        </w:rPr>
        <w:t>万元。</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本年一般公共预算收入</w:t>
      </w:r>
      <w:r>
        <w:rPr>
          <w:rFonts w:ascii="仿宋" w:eastAsia="仿宋" w:hAnsi="仿宋" w:cs="仿宋"/>
        </w:rPr>
        <w:t>45,053.98</w:t>
      </w:r>
      <w:r>
        <w:rPr>
          <w:rFonts w:ascii="仿宋" w:eastAsia="仿宋" w:hAnsi="仿宋" w:cs="仿宋"/>
        </w:rPr>
        <w:t>万元，占</w:t>
      </w:r>
      <w:r>
        <w:rPr>
          <w:rFonts w:ascii="仿宋" w:eastAsia="仿宋" w:hAnsi="仿宋" w:cs="仿宋"/>
        </w:rPr>
        <w:t>81.39%</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本年事业单位经营收入</w:t>
      </w:r>
      <w:r>
        <w:rPr>
          <w:rFonts w:ascii="仿宋" w:eastAsia="仿宋" w:hAnsi="仿宋" w:cs="仿宋"/>
        </w:rPr>
        <w:t>9,178.9</w:t>
      </w:r>
      <w:r>
        <w:rPr>
          <w:rFonts w:ascii="仿宋" w:eastAsia="仿宋" w:hAnsi="仿宋" w:cs="仿宋"/>
        </w:rPr>
        <w:t>万元，占</w:t>
      </w:r>
      <w:r>
        <w:rPr>
          <w:rFonts w:ascii="仿宋" w:eastAsia="仿宋" w:hAnsi="仿宋" w:cs="仿宋"/>
        </w:rPr>
        <w:t>16.58%</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本年上级补助收入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本年附属单位上缴收入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本年其他收入</w:t>
      </w:r>
      <w:r>
        <w:rPr>
          <w:rFonts w:ascii="仿宋" w:eastAsia="仿宋" w:hAnsi="仿宋" w:cs="仿宋"/>
        </w:rPr>
        <w:t>100</w:t>
      </w:r>
      <w:r>
        <w:rPr>
          <w:rFonts w:ascii="仿宋" w:eastAsia="仿宋" w:hAnsi="仿宋" w:cs="仿宋"/>
        </w:rPr>
        <w:t>万元，占</w:t>
      </w:r>
      <w:r>
        <w:rPr>
          <w:rFonts w:ascii="仿宋" w:eastAsia="仿宋" w:hAnsi="仿宋" w:cs="仿宋"/>
        </w:rPr>
        <w:t>0.18%</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上年结转结余的一般公共预算收入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上年结转结余的政府性基金预算收入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上年结转结余的国有资本经营预算收入</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上年结转结余的财政专户管理资金</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上年结转结余的单位资金</w:t>
      </w:r>
      <w:r>
        <w:rPr>
          <w:rFonts w:ascii="仿宋" w:eastAsia="仿宋" w:hAnsi="仿宋" w:cs="仿宋"/>
        </w:rPr>
        <w:t>1,021.24</w:t>
      </w:r>
      <w:r>
        <w:rPr>
          <w:rFonts w:ascii="仿宋" w:eastAsia="仿宋" w:hAnsi="仿宋" w:cs="仿宋"/>
        </w:rPr>
        <w:t>万元，占</w:t>
      </w:r>
      <w:r>
        <w:rPr>
          <w:rFonts w:ascii="仿宋" w:eastAsia="仿宋" w:hAnsi="仿宋" w:cs="仿宋"/>
        </w:rPr>
        <w:t>1.85%</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1" name="Drawing 1" descr="Generated"/>
            <wp:cNvGraphicFramePr/>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1"/>
                    </pic:cNvPicPr>
                  </pic:nvPicPr>
                  <pic:blipFill>
                    <a:blip r:embed="rId24"/>
                    <a:stretch>
                      <a:fillRect/>
                    </a:stretch>
                  </pic:blipFill>
                  <pic:spPr>
                    <a:xfrm>
                      <a:off x="0" y="0"/>
                      <a:ext cx="6134100" cy="3429000"/>
                    </a:xfrm>
                    <a:prstGeom prst="rect">
                      <a:avLst/>
                    </a:prstGeom>
                  </pic:spPr>
                </pic:pic>
              </a:graphicData>
            </a:graphic>
          </wp:inline>
        </w:drawing>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三、支出预算情况说明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年支出预算合计</w:t>
      </w:r>
      <w:r>
        <w:rPr>
          <w:rFonts w:ascii="仿宋" w:eastAsia="仿宋" w:hAnsi="仿宋" w:cs="仿宋"/>
        </w:rPr>
        <w:t>55,354.12</w:t>
      </w:r>
      <w:r>
        <w:rPr>
          <w:rFonts w:ascii="仿宋" w:eastAsia="仿宋" w:hAnsi="仿宋" w:cs="仿宋"/>
        </w:rPr>
        <w:t>万元，其中：</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基本支出</w:t>
      </w:r>
      <w:r>
        <w:rPr>
          <w:rFonts w:ascii="仿宋" w:eastAsia="仿宋" w:hAnsi="仿宋" w:cs="仿宋"/>
        </w:rPr>
        <w:t>16,730.27</w:t>
      </w:r>
      <w:r>
        <w:rPr>
          <w:rFonts w:ascii="仿宋" w:eastAsia="仿宋" w:hAnsi="仿宋" w:cs="仿宋"/>
        </w:rPr>
        <w:t>万元，占</w:t>
      </w:r>
      <w:r>
        <w:rPr>
          <w:rFonts w:ascii="仿宋" w:eastAsia="仿宋" w:hAnsi="仿宋" w:cs="仿宋"/>
        </w:rPr>
        <w:t>30.22%</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项目支出</w:t>
      </w:r>
      <w:r>
        <w:rPr>
          <w:rFonts w:ascii="仿宋" w:eastAsia="仿宋" w:hAnsi="仿宋" w:cs="仿宋"/>
        </w:rPr>
        <w:t>38,623.85</w:t>
      </w:r>
      <w:r>
        <w:rPr>
          <w:rFonts w:ascii="仿宋" w:eastAsia="仿宋" w:hAnsi="仿宋" w:cs="仿宋"/>
        </w:rPr>
        <w:t>万元，占</w:t>
      </w:r>
      <w:r>
        <w:rPr>
          <w:rFonts w:ascii="仿宋" w:eastAsia="仿宋" w:hAnsi="仿宋" w:cs="仿宋"/>
        </w:rPr>
        <w:t>69.78%</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事业单位经营支出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上缴上级支出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对附属单位补助支出</w:t>
      </w:r>
      <w:r>
        <w:rPr>
          <w:rFonts w:ascii="仿宋" w:eastAsia="仿宋" w:hAnsi="仿宋" w:cs="仿宋"/>
        </w:rPr>
        <w:t>0</w:t>
      </w:r>
      <w:r>
        <w:rPr>
          <w:rFonts w:ascii="仿宋" w:eastAsia="仿宋" w:hAnsi="仿宋" w:cs="仿宋"/>
        </w:rPr>
        <w:t>万元，占</w:t>
      </w:r>
      <w:r>
        <w:rPr>
          <w:rFonts w:ascii="仿宋" w:eastAsia="仿宋" w:hAnsi="仿宋" w:cs="仿宋"/>
        </w:rPr>
        <w:t>0%</w:t>
      </w:r>
      <w:r>
        <w:rPr>
          <w:rFonts w:ascii="仿宋" w:eastAsia="仿宋" w:hAnsi="仿宋" w:cs="仿宋"/>
        </w:rPr>
        <w:t>。</w:t>
      </w:r>
    </w:p>
    <w:p w:rsidR="00BA3F0B" w:rsidRDefault="00827830">
      <w:pPr>
        <w:pStyle w:val="a4"/>
        <w:tabs>
          <w:tab w:val="left" w:pos="3864"/>
          <w:tab w:val="left" w:pos="6248"/>
          <w:tab w:val="left" w:pos="7386"/>
        </w:tabs>
        <w:overflowPunct w:val="0"/>
        <w:spacing w:before="1" w:line="360" w:lineRule="auto"/>
        <w:ind w:left="-3" w:right="420" w:firstLine="3"/>
        <w:jc w:val="center"/>
        <w:rPr>
          <w:rFonts w:ascii="仿宋" w:eastAsia="仿宋" w:hAnsi="仿宋" w:cs="仿宋"/>
          <w:lang w:val="en-US"/>
        </w:rPr>
      </w:pPr>
      <w:r>
        <w:rPr>
          <w:rFonts w:ascii="仿宋" w:eastAsia="仿宋" w:hAnsi="仿宋" w:cs="仿宋" w:hint="eastAsia"/>
          <w:noProof/>
          <w:lang w:val="en-US" w:bidi="ar-SA"/>
        </w:rPr>
        <w:drawing>
          <wp:inline distT="0" distB="0" distL="0" distR="0">
            <wp:extent cx="6134100" cy="3429000"/>
            <wp:effectExtent l="0" t="0" r="0" b="0"/>
            <wp:docPr id="2" name="Drawing 2" descr="Generated"/>
            <wp:cNvGraphicFramePr/>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1"/>
                    </pic:cNvPicPr>
                  </pic:nvPicPr>
                  <pic:blipFill>
                    <a:blip r:embed="rId25"/>
                    <a:stretch>
                      <a:fillRect/>
                    </a:stretch>
                  </pic:blipFill>
                  <pic:spPr>
                    <a:xfrm>
                      <a:off x="0" y="0"/>
                      <a:ext cx="6134100" cy="3429000"/>
                    </a:xfrm>
                    <a:prstGeom prst="rect">
                      <a:avLst/>
                    </a:prstGeom>
                  </pic:spPr>
                </pic:pic>
              </a:graphicData>
            </a:graphic>
          </wp:inline>
        </w:drawing>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四、财政拨款收支预算总体情况说明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年度财政拨款收、支总预算</w:t>
      </w:r>
      <w:r>
        <w:rPr>
          <w:rFonts w:ascii="仿宋" w:eastAsia="仿宋" w:hAnsi="仿宋" w:cs="仿宋"/>
        </w:rPr>
        <w:t>45,053.98</w:t>
      </w:r>
      <w:r>
        <w:rPr>
          <w:rFonts w:ascii="仿宋" w:eastAsia="仿宋" w:hAnsi="仿宋" w:cs="仿宋"/>
        </w:rPr>
        <w:t>万元。与上年相比，财政拨款收、支总计各增加</w:t>
      </w:r>
      <w:r>
        <w:rPr>
          <w:rFonts w:ascii="仿宋" w:eastAsia="仿宋" w:hAnsi="仿宋" w:cs="仿宋"/>
        </w:rPr>
        <w:t>128.59</w:t>
      </w:r>
      <w:r>
        <w:rPr>
          <w:rFonts w:ascii="仿宋" w:eastAsia="仿宋" w:hAnsi="仿宋" w:cs="仿宋"/>
        </w:rPr>
        <w:t>万元，增长</w:t>
      </w:r>
      <w:r>
        <w:rPr>
          <w:rFonts w:ascii="仿宋" w:eastAsia="仿宋" w:hAnsi="仿宋" w:cs="仿宋"/>
        </w:rPr>
        <w:t>0.29%</w:t>
      </w:r>
      <w:r>
        <w:rPr>
          <w:rFonts w:ascii="仿宋" w:eastAsia="仿宋" w:hAnsi="仿宋" w:cs="仿宋"/>
        </w:rPr>
        <w:t>。主要原因是人员费用及相关工作项目经费增加。</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五、财政拨款支出预算情况说明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年财政拨款预算支出</w:t>
      </w:r>
      <w:r>
        <w:rPr>
          <w:rFonts w:ascii="仿宋" w:eastAsia="仿宋" w:hAnsi="仿宋" w:cs="仿宋"/>
        </w:rPr>
        <w:t>45,053.98</w:t>
      </w:r>
      <w:r>
        <w:rPr>
          <w:rFonts w:ascii="仿宋" w:eastAsia="仿宋" w:hAnsi="仿宋" w:cs="仿宋"/>
        </w:rPr>
        <w:t>万元，占本年支出合计的</w:t>
      </w:r>
      <w:r>
        <w:rPr>
          <w:rFonts w:ascii="仿宋" w:eastAsia="仿宋" w:hAnsi="仿宋" w:cs="仿宋"/>
        </w:rPr>
        <w:t>81.39%</w:t>
      </w:r>
      <w:r>
        <w:rPr>
          <w:rFonts w:ascii="仿宋" w:eastAsia="仿宋" w:hAnsi="仿宋" w:cs="仿宋"/>
        </w:rPr>
        <w:t>。与上年相比，财政拨款支出增加</w:t>
      </w:r>
      <w:r>
        <w:rPr>
          <w:rFonts w:ascii="仿宋" w:eastAsia="仿宋" w:hAnsi="仿宋" w:cs="仿宋"/>
        </w:rPr>
        <w:t>128.59</w:t>
      </w:r>
      <w:r>
        <w:rPr>
          <w:rFonts w:ascii="仿宋" w:eastAsia="仿宋" w:hAnsi="仿宋" w:cs="仿宋"/>
        </w:rPr>
        <w:t>万元，增长</w:t>
      </w:r>
      <w:r>
        <w:rPr>
          <w:rFonts w:ascii="仿宋" w:eastAsia="仿宋" w:hAnsi="仿宋" w:cs="仿宋"/>
        </w:rPr>
        <w:t>0.29%</w:t>
      </w:r>
      <w:r>
        <w:rPr>
          <w:rFonts w:ascii="仿宋" w:eastAsia="仿宋" w:hAnsi="仿宋" w:cs="仿宋"/>
        </w:rPr>
        <w:t>。主要原因是人员费用及相关工作项目经费增加。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其中：</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（一）社会保障和就业支出（类）</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行政事业单位养老支出（款）机关事业单位基本养老保险缴费支出（项）支出</w:t>
      </w:r>
      <w:r>
        <w:rPr>
          <w:rFonts w:ascii="仿宋" w:eastAsia="仿宋" w:hAnsi="仿宋" w:cs="仿宋"/>
        </w:rPr>
        <w:t>628.79</w:t>
      </w:r>
      <w:r>
        <w:rPr>
          <w:rFonts w:ascii="仿宋" w:eastAsia="仿宋" w:hAnsi="仿宋" w:cs="仿宋"/>
        </w:rPr>
        <w:t>万元，与上年相比增加</w:t>
      </w:r>
      <w:r>
        <w:rPr>
          <w:rFonts w:ascii="仿宋" w:eastAsia="仿宋" w:hAnsi="仿宋" w:cs="仿宋"/>
        </w:rPr>
        <w:t>8.97</w:t>
      </w:r>
      <w:r>
        <w:rPr>
          <w:rFonts w:ascii="仿宋" w:eastAsia="仿宋" w:hAnsi="仿宋" w:cs="仿宋"/>
        </w:rPr>
        <w:t>万元，增长</w:t>
      </w:r>
      <w:r>
        <w:rPr>
          <w:rFonts w:ascii="仿宋" w:eastAsia="仿宋" w:hAnsi="仿宋" w:cs="仿宋"/>
        </w:rPr>
        <w:t>1.45%</w:t>
      </w:r>
      <w:r>
        <w:rPr>
          <w:rFonts w:ascii="仿宋" w:eastAsia="仿宋" w:hAnsi="仿宋" w:cs="仿宋"/>
        </w:rPr>
        <w:t>。主要原因是缴费基数调整，缴费金额增加。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行政事业单位养老支出（款）机关事业单位职业年金缴费支出（项）支出</w:t>
      </w:r>
      <w:r>
        <w:rPr>
          <w:rFonts w:ascii="仿宋" w:eastAsia="仿宋" w:hAnsi="仿宋" w:cs="仿宋"/>
        </w:rPr>
        <w:t>314.4</w:t>
      </w:r>
      <w:r>
        <w:rPr>
          <w:rFonts w:ascii="仿宋" w:eastAsia="仿宋" w:hAnsi="仿宋" w:cs="仿宋"/>
        </w:rPr>
        <w:t>万元，与上年相比增加</w:t>
      </w:r>
      <w:r>
        <w:rPr>
          <w:rFonts w:ascii="仿宋" w:eastAsia="仿宋" w:hAnsi="仿宋" w:cs="仿宋"/>
        </w:rPr>
        <w:t>4.49</w:t>
      </w:r>
      <w:r>
        <w:rPr>
          <w:rFonts w:ascii="仿宋" w:eastAsia="仿宋" w:hAnsi="仿宋" w:cs="仿宋"/>
        </w:rPr>
        <w:t>万元，增长</w:t>
      </w:r>
      <w:r>
        <w:rPr>
          <w:rFonts w:ascii="仿宋" w:eastAsia="仿宋" w:hAnsi="仿宋" w:cs="仿宋"/>
        </w:rPr>
        <w:t>1.45%</w:t>
      </w:r>
      <w:r>
        <w:rPr>
          <w:rFonts w:ascii="仿宋" w:eastAsia="仿宋" w:hAnsi="仿宋" w:cs="仿宋"/>
        </w:rPr>
        <w:t>。主要原因是缴费基数调整，缴费金额增加。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（二）卫生健康支出（类）</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行政事业单位医疗（款）行政单位医疗（项）支出</w:t>
      </w:r>
      <w:r>
        <w:rPr>
          <w:rFonts w:ascii="仿宋" w:eastAsia="仿宋" w:hAnsi="仿宋" w:cs="仿宋"/>
        </w:rPr>
        <w:t>149.38</w:t>
      </w:r>
      <w:r>
        <w:rPr>
          <w:rFonts w:ascii="仿宋" w:eastAsia="仿宋" w:hAnsi="仿宋" w:cs="仿宋"/>
        </w:rPr>
        <w:t>万元，与上年相比减少</w:t>
      </w:r>
      <w:r>
        <w:rPr>
          <w:rFonts w:ascii="仿宋" w:eastAsia="仿宋" w:hAnsi="仿宋" w:cs="仿宋"/>
        </w:rPr>
        <w:t>12.68</w:t>
      </w:r>
      <w:r>
        <w:rPr>
          <w:rFonts w:ascii="仿宋" w:eastAsia="仿宋" w:hAnsi="仿宋" w:cs="仿宋"/>
        </w:rPr>
        <w:t>万元，减少</w:t>
      </w:r>
      <w:r>
        <w:rPr>
          <w:rFonts w:ascii="仿宋" w:eastAsia="仿宋" w:hAnsi="仿宋" w:cs="仿宋"/>
        </w:rPr>
        <w:t>7.82%</w:t>
      </w:r>
      <w:r>
        <w:rPr>
          <w:rFonts w:ascii="仿宋" w:eastAsia="仿宋" w:hAnsi="仿宋" w:cs="仿宋"/>
        </w:rPr>
        <w:t>。主要原因是缴费基数调整，缴费金额降低。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行政事业单位医疗（款）事业单位医疗（项）支出</w:t>
      </w:r>
      <w:r>
        <w:rPr>
          <w:rFonts w:ascii="仿宋" w:eastAsia="仿宋" w:hAnsi="仿宋" w:cs="仿宋"/>
        </w:rPr>
        <w:t>127.62</w:t>
      </w:r>
      <w:r>
        <w:rPr>
          <w:rFonts w:ascii="仿宋" w:eastAsia="仿宋" w:hAnsi="仿宋" w:cs="仿宋"/>
        </w:rPr>
        <w:t>万元，与上年相比减少</w:t>
      </w:r>
      <w:r>
        <w:rPr>
          <w:rFonts w:ascii="仿宋" w:eastAsia="仿宋" w:hAnsi="仿宋" w:cs="仿宋"/>
        </w:rPr>
        <w:t>26.52</w:t>
      </w:r>
      <w:r>
        <w:rPr>
          <w:rFonts w:ascii="仿宋" w:eastAsia="仿宋" w:hAnsi="仿宋" w:cs="仿宋"/>
        </w:rPr>
        <w:t>万元，减少</w:t>
      </w:r>
      <w:r>
        <w:rPr>
          <w:rFonts w:ascii="仿宋" w:eastAsia="仿宋" w:hAnsi="仿宋" w:cs="仿宋"/>
        </w:rPr>
        <w:t>17.21%</w:t>
      </w:r>
      <w:r>
        <w:rPr>
          <w:rFonts w:ascii="仿宋" w:eastAsia="仿宋" w:hAnsi="仿宋" w:cs="仿宋"/>
        </w:rPr>
        <w:t>。主要原因是缴费基数调整，缴费金额降低。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（三）城乡社区支出（类）</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城乡社区管理事务（款）其他城乡社区管理事务支出（项）支出</w:t>
      </w:r>
      <w:r>
        <w:rPr>
          <w:rFonts w:ascii="仿宋" w:eastAsia="仿宋" w:hAnsi="仿宋" w:cs="仿宋"/>
        </w:rPr>
        <w:t>28,825</w:t>
      </w:r>
      <w:r>
        <w:rPr>
          <w:rFonts w:ascii="仿宋" w:eastAsia="仿宋" w:hAnsi="仿宋" w:cs="仿宋"/>
        </w:rPr>
        <w:t>万元，与上年相比减少</w:t>
      </w:r>
      <w:r>
        <w:rPr>
          <w:rFonts w:ascii="仿宋" w:eastAsia="仿宋" w:hAnsi="仿宋" w:cs="仿宋"/>
        </w:rPr>
        <w:t>2,694.41</w:t>
      </w:r>
      <w:r>
        <w:rPr>
          <w:rFonts w:ascii="仿宋" w:eastAsia="仿宋" w:hAnsi="仿宋" w:cs="仿宋"/>
        </w:rPr>
        <w:t>万元，减少</w:t>
      </w:r>
      <w:r>
        <w:rPr>
          <w:rFonts w:ascii="仿宋" w:eastAsia="仿宋" w:hAnsi="仿宋" w:cs="仿宋"/>
        </w:rPr>
        <w:t>8.55%</w:t>
      </w:r>
      <w:r>
        <w:rPr>
          <w:rFonts w:ascii="仿宋" w:eastAsia="仿宋" w:hAnsi="仿宋" w:cs="仿宋"/>
        </w:rPr>
        <w:t>。主要原因是原有该支出科目安排的公园景区部分项目支出调整由其他支出科目安排，故减少。</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城乡社区规</w:t>
      </w:r>
      <w:r>
        <w:rPr>
          <w:rFonts w:ascii="仿宋" w:eastAsia="仿宋" w:hAnsi="仿宋" w:cs="仿宋"/>
        </w:rPr>
        <w:t>划与管理（款）城乡社区规划与管理（项）支出</w:t>
      </w:r>
      <w:r>
        <w:rPr>
          <w:rFonts w:ascii="仿宋" w:eastAsia="仿宋" w:hAnsi="仿宋" w:cs="仿宋"/>
        </w:rPr>
        <w:t>390.4</w:t>
      </w:r>
      <w:r>
        <w:rPr>
          <w:rFonts w:ascii="仿宋" w:eastAsia="仿宋" w:hAnsi="仿宋" w:cs="仿宋"/>
        </w:rPr>
        <w:t>万元，与上年相比增加</w:t>
      </w:r>
      <w:r>
        <w:rPr>
          <w:rFonts w:ascii="仿宋" w:eastAsia="仿宋" w:hAnsi="仿宋" w:cs="仿宋"/>
        </w:rPr>
        <w:t>317.46</w:t>
      </w:r>
      <w:r>
        <w:rPr>
          <w:rFonts w:ascii="仿宋" w:eastAsia="仿宋" w:hAnsi="仿宋" w:cs="仿宋"/>
        </w:rPr>
        <w:t>万元，增长</w:t>
      </w:r>
      <w:r>
        <w:rPr>
          <w:rFonts w:ascii="仿宋" w:eastAsia="仿宋" w:hAnsi="仿宋" w:cs="仿宋"/>
        </w:rPr>
        <w:t>435.23%</w:t>
      </w:r>
      <w:r>
        <w:rPr>
          <w:rFonts w:ascii="仿宋" w:eastAsia="仿宋" w:hAnsi="仿宋" w:cs="仿宋"/>
        </w:rPr>
        <w:t>。主要原因是事业单位税金支出增加。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国有土地使用权出让收入安排的支出（款）农业生产发展支出（项）支出</w:t>
      </w:r>
      <w:r>
        <w:rPr>
          <w:rFonts w:ascii="仿宋" w:eastAsia="仿宋" w:hAnsi="仿宋" w:cs="仿宋"/>
        </w:rPr>
        <w:t>0</w:t>
      </w:r>
      <w:r>
        <w:rPr>
          <w:rFonts w:ascii="仿宋" w:eastAsia="仿宋" w:hAnsi="仿宋" w:cs="仿宋"/>
        </w:rPr>
        <w:t>万元，与上年相比减少</w:t>
      </w:r>
      <w:r>
        <w:rPr>
          <w:rFonts w:ascii="仿宋" w:eastAsia="仿宋" w:hAnsi="仿宋" w:cs="仿宋"/>
        </w:rPr>
        <w:t>1,000</w:t>
      </w:r>
      <w:r>
        <w:rPr>
          <w:rFonts w:ascii="仿宋" w:eastAsia="仿宋" w:hAnsi="仿宋" w:cs="仿宋"/>
        </w:rPr>
        <w:t>万元，减少</w:t>
      </w:r>
      <w:r>
        <w:rPr>
          <w:rFonts w:ascii="仿宋" w:eastAsia="仿宋" w:hAnsi="仿宋" w:cs="仿宋"/>
        </w:rPr>
        <w:t>100%</w:t>
      </w:r>
      <w:r>
        <w:rPr>
          <w:rFonts w:ascii="仿宋" w:eastAsia="仿宋" w:hAnsi="仿宋" w:cs="仿宋"/>
        </w:rPr>
        <w:t>。主要原因是乡村土地利用与发展项目</w:t>
      </w:r>
      <w:r>
        <w:rPr>
          <w:rFonts w:ascii="仿宋" w:eastAsia="仿宋" w:hAnsi="仿宋" w:cs="仿宋"/>
        </w:rPr>
        <w:t>26</w:t>
      </w:r>
      <w:r>
        <w:rPr>
          <w:rFonts w:ascii="仿宋" w:eastAsia="仿宋" w:hAnsi="仿宋" w:cs="仿宋"/>
        </w:rPr>
        <w:t>年未安排，故减少。</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4.</w:t>
      </w:r>
      <w:r>
        <w:rPr>
          <w:rFonts w:ascii="仿宋" w:eastAsia="仿宋" w:hAnsi="仿宋" w:cs="仿宋"/>
        </w:rPr>
        <w:t>其他城乡社区支出（款）其他城乡社区支出（项）支出</w:t>
      </w:r>
      <w:r>
        <w:rPr>
          <w:rFonts w:ascii="仿宋" w:eastAsia="仿宋" w:hAnsi="仿宋" w:cs="仿宋"/>
        </w:rPr>
        <w:t>100</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（四）农林水支出（类）</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林业和草原（款）事业机构（项）支出</w:t>
      </w:r>
      <w:r>
        <w:rPr>
          <w:rFonts w:ascii="仿宋" w:eastAsia="仿宋" w:hAnsi="仿宋" w:cs="仿宋"/>
        </w:rPr>
        <w:t>257.39</w:t>
      </w:r>
      <w:r>
        <w:rPr>
          <w:rFonts w:ascii="仿宋" w:eastAsia="仿宋" w:hAnsi="仿宋" w:cs="仿宋"/>
        </w:rPr>
        <w:t>万元，与上年相比增加</w:t>
      </w:r>
      <w:r>
        <w:rPr>
          <w:rFonts w:ascii="仿宋" w:eastAsia="仿宋" w:hAnsi="仿宋" w:cs="仿宋"/>
        </w:rPr>
        <w:t>11.72</w:t>
      </w:r>
      <w:r>
        <w:rPr>
          <w:rFonts w:ascii="仿宋" w:eastAsia="仿宋" w:hAnsi="仿宋" w:cs="仿宋"/>
        </w:rPr>
        <w:t>万元，增长</w:t>
      </w:r>
      <w:r>
        <w:rPr>
          <w:rFonts w:ascii="仿宋" w:eastAsia="仿宋" w:hAnsi="仿宋" w:cs="仿宋"/>
        </w:rPr>
        <w:t>4.77%</w:t>
      </w:r>
      <w:r>
        <w:rPr>
          <w:rFonts w:ascii="仿宋" w:eastAsia="仿宋" w:hAnsi="仿宋" w:cs="仿宋"/>
        </w:rPr>
        <w:t>。主要原因是事业单位人员经费及公用经费增加。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林业和草原（款）其他林业和草原支出（项）支出</w:t>
      </w:r>
      <w:r>
        <w:rPr>
          <w:rFonts w:ascii="仿宋" w:eastAsia="仿宋" w:hAnsi="仿宋" w:cs="仿宋"/>
        </w:rPr>
        <w:t>55.72</w:t>
      </w:r>
      <w:r>
        <w:rPr>
          <w:rFonts w:ascii="仿宋" w:eastAsia="仿宋" w:hAnsi="仿宋" w:cs="仿宋"/>
        </w:rPr>
        <w:t>万元，与上年相比减少</w:t>
      </w:r>
      <w:r>
        <w:rPr>
          <w:rFonts w:ascii="仿宋" w:eastAsia="仿宋" w:hAnsi="仿宋" w:cs="仿宋"/>
        </w:rPr>
        <w:t>315.58</w:t>
      </w:r>
      <w:r>
        <w:rPr>
          <w:rFonts w:ascii="仿宋" w:eastAsia="仿宋" w:hAnsi="仿宋" w:cs="仿宋"/>
        </w:rPr>
        <w:t>万元，减少</w:t>
      </w:r>
      <w:r>
        <w:rPr>
          <w:rFonts w:ascii="仿宋" w:eastAsia="仿宋" w:hAnsi="仿宋" w:cs="仿宋"/>
        </w:rPr>
        <w:t>84.99%</w:t>
      </w:r>
      <w:r>
        <w:rPr>
          <w:rFonts w:ascii="仿宋" w:eastAsia="仿宋" w:hAnsi="仿宋" w:cs="仿宋"/>
        </w:rPr>
        <w:t>。主要原因是减少由森林植被恢复费安排的工作项目。</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（五）自然资源海洋气象等支出（类）</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自然资源事务（款）行政运行（项）支出</w:t>
      </w:r>
      <w:r>
        <w:rPr>
          <w:rFonts w:ascii="仿宋" w:eastAsia="仿宋" w:hAnsi="仿宋" w:cs="仿宋"/>
        </w:rPr>
        <w:t>2,901.68</w:t>
      </w:r>
      <w:r>
        <w:rPr>
          <w:rFonts w:ascii="仿宋" w:eastAsia="仿宋" w:hAnsi="仿宋" w:cs="仿宋"/>
        </w:rPr>
        <w:t>万元，与上年相比增加</w:t>
      </w:r>
      <w:r>
        <w:rPr>
          <w:rFonts w:ascii="仿宋" w:eastAsia="仿宋" w:hAnsi="仿宋" w:cs="仿宋"/>
        </w:rPr>
        <w:t>29.68</w:t>
      </w:r>
      <w:r>
        <w:rPr>
          <w:rFonts w:ascii="仿宋" w:eastAsia="仿宋" w:hAnsi="仿宋" w:cs="仿宋"/>
        </w:rPr>
        <w:t>万元，增长</w:t>
      </w:r>
      <w:r>
        <w:rPr>
          <w:rFonts w:ascii="仿宋" w:eastAsia="仿宋" w:hAnsi="仿宋" w:cs="仿宋"/>
        </w:rPr>
        <w:t>1.03%</w:t>
      </w:r>
      <w:r>
        <w:rPr>
          <w:rFonts w:ascii="仿宋" w:eastAsia="仿宋" w:hAnsi="仿宋" w:cs="仿宋"/>
        </w:rPr>
        <w:t>。主要原因是人员经费及公用经费增加。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自然资源事务（款）自然资源行业业务管理（项）支出</w:t>
      </w:r>
      <w:r>
        <w:rPr>
          <w:rFonts w:ascii="仿宋" w:eastAsia="仿宋" w:hAnsi="仿宋" w:cs="仿宋"/>
        </w:rPr>
        <w:t>3,178.66</w:t>
      </w:r>
      <w:r>
        <w:rPr>
          <w:rFonts w:ascii="仿宋" w:eastAsia="仿宋" w:hAnsi="仿宋" w:cs="仿宋"/>
        </w:rPr>
        <w:t>万元，与上年相比增加</w:t>
      </w:r>
      <w:r>
        <w:rPr>
          <w:rFonts w:ascii="仿宋" w:eastAsia="仿宋" w:hAnsi="仿宋" w:cs="仿宋"/>
        </w:rPr>
        <w:t>1,392.36</w:t>
      </w:r>
      <w:r>
        <w:rPr>
          <w:rFonts w:ascii="仿宋" w:eastAsia="仿宋" w:hAnsi="仿宋" w:cs="仿宋"/>
        </w:rPr>
        <w:t>万元，增长</w:t>
      </w:r>
      <w:r>
        <w:rPr>
          <w:rFonts w:ascii="仿宋" w:eastAsia="仿宋" w:hAnsi="仿宋" w:cs="仿宋"/>
        </w:rPr>
        <w:t>77.95%</w:t>
      </w:r>
      <w:r>
        <w:rPr>
          <w:rFonts w:ascii="仿宋" w:eastAsia="仿宋" w:hAnsi="仿宋" w:cs="仿宋"/>
        </w:rPr>
        <w:t>。主要原因是增加城市展示馆租赁运营等项目。</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自然资源事务（款）其他自然资源事务支出（项）支出</w:t>
      </w:r>
      <w:r>
        <w:rPr>
          <w:rFonts w:ascii="仿宋" w:eastAsia="仿宋" w:hAnsi="仿宋" w:cs="仿宋"/>
        </w:rPr>
        <w:t>3,488.53</w:t>
      </w:r>
      <w:r>
        <w:rPr>
          <w:rFonts w:ascii="仿宋" w:eastAsia="仿宋" w:hAnsi="仿宋" w:cs="仿宋"/>
        </w:rPr>
        <w:t>万元，与上年相比减少</w:t>
      </w:r>
      <w:r>
        <w:rPr>
          <w:rFonts w:ascii="仿宋" w:eastAsia="仿宋" w:hAnsi="仿宋" w:cs="仿宋"/>
        </w:rPr>
        <w:t>181.96</w:t>
      </w:r>
      <w:r>
        <w:rPr>
          <w:rFonts w:ascii="仿宋" w:eastAsia="仿宋" w:hAnsi="仿宋" w:cs="仿宋"/>
        </w:rPr>
        <w:t>万元，减少</w:t>
      </w:r>
      <w:r>
        <w:rPr>
          <w:rFonts w:ascii="仿宋" w:eastAsia="仿宋" w:hAnsi="仿宋" w:cs="仿宋"/>
        </w:rPr>
        <w:t>4.96%</w:t>
      </w:r>
      <w:r>
        <w:rPr>
          <w:rFonts w:ascii="仿宋" w:eastAsia="仿宋" w:hAnsi="仿宋" w:cs="仿宋"/>
        </w:rPr>
        <w:t>。主要原因是厉行节约，工作项目减少。</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（六）住房保障支出（类）</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住房改革支出（款）住房公积金（项）支出</w:t>
      </w:r>
      <w:r>
        <w:rPr>
          <w:rFonts w:ascii="仿宋" w:eastAsia="仿宋" w:hAnsi="仿宋" w:cs="仿宋"/>
        </w:rPr>
        <w:t>623.81</w:t>
      </w:r>
      <w:r>
        <w:rPr>
          <w:rFonts w:ascii="仿宋" w:eastAsia="仿宋" w:hAnsi="仿宋" w:cs="仿宋"/>
        </w:rPr>
        <w:t>万元，与上年相比减少</w:t>
      </w:r>
      <w:r>
        <w:rPr>
          <w:rFonts w:ascii="仿宋" w:eastAsia="仿宋" w:hAnsi="仿宋" w:cs="仿宋"/>
        </w:rPr>
        <w:t>20.85</w:t>
      </w:r>
      <w:r>
        <w:rPr>
          <w:rFonts w:ascii="仿宋" w:eastAsia="仿宋" w:hAnsi="仿宋" w:cs="仿宋"/>
        </w:rPr>
        <w:t>万元，减少</w:t>
      </w:r>
      <w:r>
        <w:rPr>
          <w:rFonts w:ascii="仿宋" w:eastAsia="仿宋" w:hAnsi="仿宋" w:cs="仿宋"/>
        </w:rPr>
        <w:t>3.23%</w:t>
      </w:r>
      <w:r>
        <w:rPr>
          <w:rFonts w:ascii="仿宋" w:eastAsia="仿宋" w:hAnsi="仿宋" w:cs="仿宋"/>
        </w:rPr>
        <w:t>。主要原因是缴费基数调整，缴费金额降低。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住房改革</w:t>
      </w:r>
      <w:r>
        <w:rPr>
          <w:rFonts w:ascii="仿宋" w:eastAsia="仿宋" w:hAnsi="仿宋" w:cs="仿宋"/>
        </w:rPr>
        <w:t>支出（款）提租补贴（项）支出</w:t>
      </w:r>
      <w:r>
        <w:rPr>
          <w:rFonts w:ascii="仿宋" w:eastAsia="仿宋" w:hAnsi="仿宋" w:cs="仿宋"/>
        </w:rPr>
        <w:t>514.91</w:t>
      </w:r>
      <w:r>
        <w:rPr>
          <w:rFonts w:ascii="仿宋" w:eastAsia="仿宋" w:hAnsi="仿宋" w:cs="仿宋"/>
        </w:rPr>
        <w:t>万元，与上年相比减少</w:t>
      </w:r>
      <w:r>
        <w:rPr>
          <w:rFonts w:ascii="仿宋" w:eastAsia="仿宋" w:hAnsi="仿宋" w:cs="仿宋"/>
        </w:rPr>
        <w:t>53.73</w:t>
      </w:r>
      <w:r>
        <w:rPr>
          <w:rFonts w:ascii="仿宋" w:eastAsia="仿宋" w:hAnsi="仿宋" w:cs="仿宋"/>
        </w:rPr>
        <w:t>万元，减少</w:t>
      </w:r>
      <w:r>
        <w:rPr>
          <w:rFonts w:ascii="仿宋" w:eastAsia="仿宋" w:hAnsi="仿宋" w:cs="仿宋"/>
        </w:rPr>
        <w:t>9.45%</w:t>
      </w:r>
      <w:r>
        <w:rPr>
          <w:rFonts w:ascii="仿宋" w:eastAsia="仿宋" w:hAnsi="仿宋" w:cs="仿宋"/>
        </w:rPr>
        <w:t>。主要原因是缴费基数调整，缴费金额降低。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住房改革支出（款）购房补贴（项）支出</w:t>
      </w:r>
      <w:r>
        <w:rPr>
          <w:rFonts w:ascii="仿宋" w:eastAsia="仿宋" w:hAnsi="仿宋" w:cs="仿宋"/>
        </w:rPr>
        <w:t>822.69</w:t>
      </w:r>
      <w:r>
        <w:rPr>
          <w:rFonts w:ascii="仿宋" w:eastAsia="仿宋" w:hAnsi="仿宋" w:cs="仿宋"/>
        </w:rPr>
        <w:t>万元，与上年相比减少</w:t>
      </w:r>
      <w:r>
        <w:rPr>
          <w:rFonts w:ascii="仿宋" w:eastAsia="仿宋" w:hAnsi="仿宋" w:cs="仿宋"/>
        </w:rPr>
        <w:t>5.36</w:t>
      </w:r>
      <w:r>
        <w:rPr>
          <w:rFonts w:ascii="仿宋" w:eastAsia="仿宋" w:hAnsi="仿宋" w:cs="仿宋"/>
        </w:rPr>
        <w:t>万元，减少</w:t>
      </w:r>
      <w:r>
        <w:rPr>
          <w:rFonts w:ascii="仿宋" w:eastAsia="仿宋" w:hAnsi="仿宋" w:cs="仿宋"/>
        </w:rPr>
        <w:t>0.65%</w:t>
      </w:r>
      <w:r>
        <w:rPr>
          <w:rFonts w:ascii="仿宋" w:eastAsia="仿宋" w:hAnsi="仿宋" w:cs="仿宋"/>
        </w:rPr>
        <w:t>。主要原因是缴费基数调整，缴费金额降低。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（七）灾害防治及应急管理支出（类）</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其他灾害防治及应急管理支出（款）其他灾害防治及应急管理支出（项）支出</w:t>
      </w:r>
      <w:r>
        <w:rPr>
          <w:rFonts w:ascii="仿宋" w:eastAsia="仿宋" w:hAnsi="仿宋" w:cs="仿宋"/>
        </w:rPr>
        <w:t>2,675</w:t>
      </w:r>
      <w:r>
        <w:rPr>
          <w:rFonts w:ascii="仿宋" w:eastAsia="仿宋" w:hAnsi="仿宋" w:cs="仿宋"/>
        </w:rPr>
        <w:t>万元，与上年相比增加</w:t>
      </w:r>
      <w:r>
        <w:rPr>
          <w:rFonts w:ascii="仿宋" w:eastAsia="仿宋" w:hAnsi="仿宋" w:cs="仿宋"/>
        </w:rPr>
        <w:t>2,675</w:t>
      </w:r>
      <w:r>
        <w:rPr>
          <w:rFonts w:ascii="仿宋" w:eastAsia="仿宋" w:hAnsi="仿宋" w:cs="仿宋"/>
        </w:rPr>
        <w:t>万元（去年预算数为</w:t>
      </w:r>
      <w:r>
        <w:rPr>
          <w:rFonts w:ascii="仿宋" w:eastAsia="仿宋" w:hAnsi="仿宋" w:cs="仿宋"/>
        </w:rPr>
        <w:t>0</w:t>
      </w:r>
      <w:r>
        <w:rPr>
          <w:rFonts w:ascii="仿宋" w:eastAsia="仿宋" w:hAnsi="仿宋" w:cs="仿宋"/>
        </w:rPr>
        <w:t>万元，无法计算增减比率）。主要原因是增加公园景区的安全防范支出项目（景区安</w:t>
      </w:r>
      <w:r>
        <w:rPr>
          <w:rFonts w:ascii="仿宋" w:eastAsia="仿宋" w:hAnsi="仿宋" w:cs="仿宋"/>
        </w:rPr>
        <w:t>保费用、景区安全生产费等工作项目）。</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六、财政拨款基本支出预算情况说明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年度财政拨款基本支出预算</w:t>
      </w:r>
      <w:r>
        <w:rPr>
          <w:rFonts w:ascii="仿宋" w:eastAsia="仿宋" w:hAnsi="仿宋" w:cs="仿宋"/>
        </w:rPr>
        <w:t>8,874.88</w:t>
      </w:r>
      <w:r>
        <w:rPr>
          <w:rFonts w:ascii="仿宋" w:eastAsia="仿宋" w:hAnsi="仿宋" w:cs="仿宋"/>
        </w:rPr>
        <w:t>万元，其中：</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8,454.48</w:t>
      </w:r>
      <w:r>
        <w:rPr>
          <w:rFonts w:ascii="仿宋" w:eastAsia="仿宋" w:hAnsi="仿宋" w:cs="仿宋"/>
        </w:rPr>
        <w:t>万元。主要包括：基本工资、津贴补贴、奖金、绩效工资、机关事业单位基本养老保险缴费、职业年金缴费、职工基本医疗保险缴费、其他社会保障缴费、住房公积金、医疗费、其他工资福利支出、退休费、奖励金、其他对个人和家庭的补助。</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420.4</w:t>
      </w:r>
      <w:r>
        <w:rPr>
          <w:rFonts w:ascii="仿宋" w:eastAsia="仿宋" w:hAnsi="仿宋" w:cs="仿宋"/>
        </w:rPr>
        <w:t>万元。主要包括：办公费、会议费、培训费、公务接待费、工会经费、公务用车运行维护费、其他</w:t>
      </w:r>
      <w:r>
        <w:rPr>
          <w:rFonts w:ascii="仿宋" w:eastAsia="仿宋" w:hAnsi="仿宋" w:cs="仿宋"/>
        </w:rPr>
        <w:t>交通费用、其他商品和服务支出。</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七、一般公共预算支出预算情况说明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年一般公共预算财政拨款支出预算</w:t>
      </w:r>
      <w:r>
        <w:rPr>
          <w:rFonts w:ascii="仿宋" w:eastAsia="仿宋" w:hAnsi="仿宋" w:cs="仿宋"/>
        </w:rPr>
        <w:t>45,053.98</w:t>
      </w:r>
      <w:r>
        <w:rPr>
          <w:rFonts w:ascii="仿宋" w:eastAsia="仿宋" w:hAnsi="仿宋" w:cs="仿宋"/>
        </w:rPr>
        <w:t>万元，与上年相比增加</w:t>
      </w:r>
      <w:r>
        <w:rPr>
          <w:rFonts w:ascii="仿宋" w:eastAsia="仿宋" w:hAnsi="仿宋" w:cs="仿宋"/>
        </w:rPr>
        <w:t>1,128.59</w:t>
      </w:r>
      <w:r>
        <w:rPr>
          <w:rFonts w:ascii="仿宋" w:eastAsia="仿宋" w:hAnsi="仿宋" w:cs="仿宋"/>
        </w:rPr>
        <w:t>万元，增长</w:t>
      </w:r>
      <w:r>
        <w:rPr>
          <w:rFonts w:ascii="仿宋" w:eastAsia="仿宋" w:hAnsi="仿宋" w:cs="仿宋"/>
        </w:rPr>
        <w:t>2.57%</w:t>
      </w:r>
      <w:r>
        <w:rPr>
          <w:rFonts w:ascii="仿宋" w:eastAsia="仿宋" w:hAnsi="仿宋" w:cs="仿宋"/>
        </w:rPr>
        <w:t>。主要原因是增加城市展示馆租赁运营等项目。</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八、一般公共预算基本支出预算情况说明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年度一般公共预算财政拨款基本支出预算</w:t>
      </w:r>
      <w:r>
        <w:rPr>
          <w:rFonts w:ascii="仿宋" w:eastAsia="仿宋" w:hAnsi="仿宋" w:cs="仿宋"/>
        </w:rPr>
        <w:t>8,874.88</w:t>
      </w:r>
      <w:r>
        <w:rPr>
          <w:rFonts w:ascii="仿宋" w:eastAsia="仿宋" w:hAnsi="仿宋" w:cs="仿宋"/>
        </w:rPr>
        <w:t>万元，其中：</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（一）人员经费</w:t>
      </w:r>
      <w:r>
        <w:rPr>
          <w:rFonts w:ascii="仿宋" w:eastAsia="仿宋" w:hAnsi="仿宋" w:cs="仿宋"/>
        </w:rPr>
        <w:t>8,454.48</w:t>
      </w:r>
      <w:r>
        <w:rPr>
          <w:rFonts w:ascii="仿宋" w:eastAsia="仿宋" w:hAnsi="仿宋" w:cs="仿宋"/>
        </w:rPr>
        <w:t>万元。主要包括：基本工资、津贴补贴、奖金、绩效工资、机关事业单位基本养老保险缴费、职业年金缴费、职工基本</w:t>
      </w:r>
      <w:r>
        <w:rPr>
          <w:rFonts w:ascii="仿宋" w:eastAsia="仿宋" w:hAnsi="仿宋" w:cs="仿宋"/>
        </w:rPr>
        <w:t>医疗保险缴费、其他社会保障缴费、住房公积金、医疗费、其他工资福利支出、退休费、奖励金、其他对个人和家庭的补助。</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（二）公用经费</w:t>
      </w:r>
      <w:r>
        <w:rPr>
          <w:rFonts w:ascii="仿宋" w:eastAsia="仿宋" w:hAnsi="仿宋" w:cs="仿宋"/>
        </w:rPr>
        <w:t>420.4</w:t>
      </w:r>
      <w:r>
        <w:rPr>
          <w:rFonts w:ascii="仿宋" w:eastAsia="仿宋" w:hAnsi="仿宋" w:cs="仿宋"/>
        </w:rPr>
        <w:t>万元。主要包括：办公费、会议费、培训费、公务接待费、工会经费、公务用车运行维护费、其他交通费用、其他商品和服务支出。</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九、一般公共预算</w:t>
      </w:r>
      <w:r>
        <w:rPr>
          <w:rFonts w:ascii="仿宋" w:eastAsia="仿宋" w:hAnsi="仿宋" w:cs="仿宋"/>
          <w:b/>
        </w:rPr>
        <w:t>“</w:t>
      </w:r>
      <w:r>
        <w:rPr>
          <w:rFonts w:ascii="仿宋" w:eastAsia="仿宋" w:hAnsi="仿宋" w:cs="仿宋"/>
          <w:b/>
        </w:rPr>
        <w:t>三公</w:t>
      </w:r>
      <w:r>
        <w:rPr>
          <w:rFonts w:ascii="仿宋" w:eastAsia="仿宋" w:hAnsi="仿宋" w:cs="仿宋"/>
          <w:b/>
        </w:rPr>
        <w:t>”</w:t>
      </w:r>
      <w:r>
        <w:rPr>
          <w:rFonts w:ascii="仿宋" w:eastAsia="仿宋" w:hAnsi="仿宋" w:cs="仿宋"/>
          <w:b/>
        </w:rPr>
        <w:t>经费、会议费、培训费支出预算情况说明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年度一般公共预算拨款安排的</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经费支出预算</w:t>
      </w:r>
      <w:r>
        <w:rPr>
          <w:rFonts w:ascii="仿宋" w:eastAsia="仿宋" w:hAnsi="仿宋" w:cs="仿宋"/>
        </w:rPr>
        <w:t>39.48</w:t>
      </w:r>
      <w:r>
        <w:rPr>
          <w:rFonts w:ascii="仿宋" w:eastAsia="仿宋" w:hAnsi="仿宋" w:cs="仿宋"/>
        </w:rPr>
        <w:t>万元，比上年预算增加</w:t>
      </w:r>
      <w:r>
        <w:rPr>
          <w:rFonts w:ascii="仿宋" w:eastAsia="仿宋" w:hAnsi="仿宋" w:cs="仿宋"/>
        </w:rPr>
        <w:t>36.05</w:t>
      </w:r>
      <w:r>
        <w:rPr>
          <w:rFonts w:ascii="仿宋" w:eastAsia="仿宋" w:hAnsi="仿宋" w:cs="仿宋"/>
        </w:rPr>
        <w:t>万元，变动原因公务用车购置及公务用车运行维护费用增加。其中，因公出国（境）费支出</w:t>
      </w:r>
      <w:r>
        <w:rPr>
          <w:rFonts w:ascii="仿宋" w:eastAsia="仿宋" w:hAnsi="仿宋" w:cs="仿宋"/>
        </w:rPr>
        <w:t>0</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0%</w:t>
      </w:r>
      <w:r>
        <w:rPr>
          <w:rFonts w:ascii="仿宋" w:eastAsia="仿宋" w:hAnsi="仿宋" w:cs="仿宋"/>
        </w:rPr>
        <w:t>；公务用车购置及运行维护费支出</w:t>
      </w:r>
      <w:r>
        <w:rPr>
          <w:rFonts w:ascii="仿宋" w:eastAsia="仿宋" w:hAnsi="仿宋" w:cs="仿宋"/>
        </w:rPr>
        <w:t>36.05</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91.31%</w:t>
      </w:r>
      <w:r>
        <w:rPr>
          <w:rFonts w:ascii="仿宋" w:eastAsia="仿宋" w:hAnsi="仿宋" w:cs="仿宋"/>
        </w:rPr>
        <w:t>；公务接待费支出</w:t>
      </w:r>
      <w:r>
        <w:rPr>
          <w:rFonts w:ascii="仿宋" w:eastAsia="仿宋" w:hAnsi="仿宋" w:cs="仿宋"/>
        </w:rPr>
        <w:t>3.43</w:t>
      </w:r>
      <w:r>
        <w:rPr>
          <w:rFonts w:ascii="仿宋" w:eastAsia="仿宋" w:hAnsi="仿宋" w:cs="仿宋"/>
        </w:rPr>
        <w:t>万元，占</w:t>
      </w:r>
      <w:r>
        <w:rPr>
          <w:rFonts w:ascii="仿宋" w:eastAsia="仿宋" w:hAnsi="仿宋" w:cs="仿宋"/>
        </w:rPr>
        <w:t>“</w:t>
      </w:r>
      <w:r>
        <w:rPr>
          <w:rFonts w:ascii="仿宋" w:eastAsia="仿宋" w:hAnsi="仿宋" w:cs="仿宋"/>
        </w:rPr>
        <w:t>三公</w:t>
      </w:r>
      <w:r>
        <w:rPr>
          <w:rFonts w:ascii="仿宋" w:eastAsia="仿宋" w:hAnsi="仿宋" w:cs="仿宋"/>
        </w:rPr>
        <w:t>”</w:t>
      </w:r>
      <w:r>
        <w:rPr>
          <w:rFonts w:ascii="仿宋" w:eastAsia="仿宋" w:hAnsi="仿宋" w:cs="仿宋"/>
        </w:rPr>
        <w:t>经费的</w:t>
      </w:r>
      <w:r>
        <w:rPr>
          <w:rFonts w:ascii="仿宋" w:eastAsia="仿宋" w:hAnsi="仿宋" w:cs="仿宋"/>
        </w:rPr>
        <w:t>8.69%</w:t>
      </w:r>
      <w:r>
        <w:rPr>
          <w:rFonts w:ascii="仿宋" w:eastAsia="仿宋" w:hAnsi="仿宋" w:cs="仿宋"/>
        </w:rPr>
        <w:t>。具体情况如下：</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1</w:t>
      </w:r>
      <w:r>
        <w:rPr>
          <w:rFonts w:ascii="仿宋" w:eastAsia="仿宋" w:hAnsi="仿宋" w:cs="仿宋"/>
        </w:rPr>
        <w:t>．因公出国（境）费预算支出</w:t>
      </w:r>
      <w:r>
        <w:rPr>
          <w:rFonts w:ascii="仿宋" w:eastAsia="仿宋" w:hAnsi="仿宋" w:cs="仿宋"/>
        </w:rPr>
        <w:t>0</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w:t>
      </w:r>
      <w:r>
        <w:rPr>
          <w:rFonts w:ascii="仿宋" w:eastAsia="仿宋" w:hAnsi="仿宋" w:cs="仿宋"/>
        </w:rPr>
        <w:t>．公务用车购置及运行维护费预算支出</w:t>
      </w:r>
      <w:r>
        <w:rPr>
          <w:rFonts w:ascii="仿宋" w:eastAsia="仿宋" w:hAnsi="仿宋" w:cs="仿宋"/>
        </w:rPr>
        <w:t>36.05</w:t>
      </w:r>
      <w:r>
        <w:rPr>
          <w:rFonts w:ascii="仿宋" w:eastAsia="仿宋" w:hAnsi="仿宋" w:cs="仿宋"/>
        </w:rPr>
        <w:t>万元。其中：</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1</w:t>
      </w:r>
      <w:r>
        <w:rPr>
          <w:rFonts w:ascii="仿宋" w:eastAsia="仿宋" w:hAnsi="仿宋" w:cs="仿宋"/>
        </w:rPr>
        <w:t>）公务用车购置预算支</w:t>
      </w:r>
      <w:r>
        <w:rPr>
          <w:rFonts w:ascii="仿宋" w:eastAsia="仿宋" w:hAnsi="仿宋" w:cs="仿宋"/>
        </w:rPr>
        <w:t>出</w:t>
      </w:r>
      <w:r>
        <w:rPr>
          <w:rFonts w:ascii="仿宋" w:eastAsia="仿宋" w:hAnsi="仿宋" w:cs="仿宋"/>
        </w:rPr>
        <w:t>18</w:t>
      </w:r>
      <w:r>
        <w:rPr>
          <w:rFonts w:ascii="仿宋" w:eastAsia="仿宋" w:hAnsi="仿宋" w:cs="仿宋"/>
        </w:rPr>
        <w:t>万元，比上年预算增加</w:t>
      </w:r>
      <w:r>
        <w:rPr>
          <w:rFonts w:ascii="仿宋" w:eastAsia="仿宋" w:hAnsi="仿宋" w:cs="仿宋"/>
        </w:rPr>
        <w:t>18</w:t>
      </w:r>
      <w:r>
        <w:rPr>
          <w:rFonts w:ascii="仿宋" w:eastAsia="仿宋" w:hAnsi="仿宋" w:cs="仿宋"/>
        </w:rPr>
        <w:t>万元，主要原因是已达报废年限且车况差存在安全隐患已无法上路行驶的公务用车进行报废更新。</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w:t>
      </w:r>
      <w:r>
        <w:rPr>
          <w:rFonts w:ascii="仿宋" w:eastAsia="仿宋" w:hAnsi="仿宋" w:cs="仿宋"/>
        </w:rPr>
        <w:t>2</w:t>
      </w:r>
      <w:r>
        <w:rPr>
          <w:rFonts w:ascii="仿宋" w:eastAsia="仿宋" w:hAnsi="仿宋" w:cs="仿宋"/>
        </w:rPr>
        <w:t>）公务用车运行维护费预算支出</w:t>
      </w:r>
      <w:r>
        <w:rPr>
          <w:rFonts w:ascii="仿宋" w:eastAsia="仿宋" w:hAnsi="仿宋" w:cs="仿宋"/>
        </w:rPr>
        <w:t>18.05</w:t>
      </w:r>
      <w:r>
        <w:rPr>
          <w:rFonts w:ascii="仿宋" w:eastAsia="仿宋" w:hAnsi="仿宋" w:cs="仿宋"/>
        </w:rPr>
        <w:t>万元，比上年预算增加</w:t>
      </w:r>
      <w:r>
        <w:rPr>
          <w:rFonts w:ascii="仿宋" w:eastAsia="仿宋" w:hAnsi="仿宋" w:cs="仿宋"/>
        </w:rPr>
        <w:t>18.05</w:t>
      </w:r>
      <w:r>
        <w:rPr>
          <w:rFonts w:ascii="仿宋" w:eastAsia="仿宋" w:hAnsi="仿宋" w:cs="仿宋"/>
        </w:rPr>
        <w:t>万元，主要原因是车辆年份长，维修成本相应增加，故公务用车运行维护费预算支出增加。</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3</w:t>
      </w:r>
      <w:r>
        <w:rPr>
          <w:rFonts w:ascii="仿宋" w:eastAsia="仿宋" w:hAnsi="仿宋" w:cs="仿宋"/>
        </w:rPr>
        <w:t>．公务接待费预算支出</w:t>
      </w:r>
      <w:r>
        <w:rPr>
          <w:rFonts w:ascii="仿宋" w:eastAsia="仿宋" w:hAnsi="仿宋" w:cs="仿宋"/>
        </w:rPr>
        <w:t>3.43</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年度一般公共预算拨款安排的会议费预算支出</w:t>
      </w:r>
      <w:r>
        <w:rPr>
          <w:rFonts w:ascii="仿宋" w:eastAsia="仿宋" w:hAnsi="仿宋" w:cs="仿宋"/>
        </w:rPr>
        <w:t>1.3</w:t>
      </w:r>
      <w:r>
        <w:rPr>
          <w:rFonts w:ascii="仿宋" w:eastAsia="仿宋" w:hAnsi="仿宋" w:cs="仿宋"/>
        </w:rPr>
        <w:t>万元，与上年预算数相同。</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年度一般公共预算拨款安排的培训费预算支出</w:t>
      </w:r>
      <w:r>
        <w:rPr>
          <w:rFonts w:ascii="仿宋" w:eastAsia="仿宋" w:hAnsi="仿宋" w:cs="仿宋"/>
        </w:rPr>
        <w:t>14.94</w:t>
      </w:r>
      <w:r>
        <w:rPr>
          <w:rFonts w:ascii="仿宋" w:eastAsia="仿宋" w:hAnsi="仿宋" w:cs="仿宋"/>
        </w:rPr>
        <w:t>万</w:t>
      </w:r>
      <w:r>
        <w:rPr>
          <w:rFonts w:ascii="仿宋" w:eastAsia="仿宋" w:hAnsi="仿宋" w:cs="仿宋"/>
        </w:rPr>
        <w:t>元，比上年预算增加</w:t>
      </w:r>
      <w:r>
        <w:rPr>
          <w:rFonts w:ascii="仿宋" w:eastAsia="仿宋" w:hAnsi="仿宋" w:cs="仿宋"/>
        </w:rPr>
        <w:t>13</w:t>
      </w:r>
      <w:r>
        <w:rPr>
          <w:rFonts w:ascii="仿宋" w:eastAsia="仿宋" w:hAnsi="仿宋" w:cs="仿宋"/>
        </w:rPr>
        <w:t>万元，主要原因是新增加两个预算单位，为提升人员业务能力，培训计划增加，故培训费用增加。</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十、政府性基金预算支出预算情况说明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年政府性基金支出预算支出</w:t>
      </w:r>
      <w:r>
        <w:rPr>
          <w:rFonts w:ascii="仿宋" w:eastAsia="仿宋" w:hAnsi="仿宋" w:cs="仿宋"/>
        </w:rPr>
        <w:t>0</w:t>
      </w:r>
      <w:r>
        <w:rPr>
          <w:rFonts w:ascii="仿宋" w:eastAsia="仿宋" w:hAnsi="仿宋" w:cs="仿宋"/>
        </w:rPr>
        <w:t>万元。与上年相比减少</w:t>
      </w:r>
      <w:r>
        <w:rPr>
          <w:rFonts w:ascii="仿宋" w:eastAsia="仿宋" w:hAnsi="仿宋" w:cs="仿宋"/>
        </w:rPr>
        <w:t>1,000</w:t>
      </w:r>
      <w:r>
        <w:rPr>
          <w:rFonts w:ascii="仿宋" w:eastAsia="仿宋" w:hAnsi="仿宋" w:cs="仿宋"/>
        </w:rPr>
        <w:t>万元，减少</w:t>
      </w:r>
      <w:r>
        <w:rPr>
          <w:rFonts w:ascii="仿宋" w:eastAsia="仿宋" w:hAnsi="仿宋" w:cs="仿宋"/>
        </w:rPr>
        <w:t>100%</w:t>
      </w:r>
      <w:r>
        <w:rPr>
          <w:rFonts w:ascii="仿宋" w:eastAsia="仿宋" w:hAnsi="仿宋" w:cs="仿宋"/>
        </w:rPr>
        <w:t>。主要原因是</w:t>
      </w:r>
      <w:r>
        <w:rPr>
          <w:rFonts w:ascii="仿宋" w:eastAsia="仿宋" w:hAnsi="仿宋" w:cs="仿宋"/>
        </w:rPr>
        <w:t>26</w:t>
      </w:r>
      <w:r>
        <w:rPr>
          <w:rFonts w:ascii="仿宋" w:eastAsia="仿宋" w:hAnsi="仿宋" w:cs="仿宋"/>
        </w:rPr>
        <w:t>年政府性基金支出中的乡村土地利用与发展项目未安排，故减少。</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十一、国有资本经营预算支出预算情况说明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无锡市自然资源和规划局</w:t>
      </w:r>
      <w:r>
        <w:rPr>
          <w:rFonts w:ascii="仿宋" w:eastAsia="仿宋" w:hAnsi="仿宋" w:cs="仿宋"/>
        </w:rPr>
        <w:t>2026</w:t>
      </w:r>
      <w:r>
        <w:rPr>
          <w:rFonts w:ascii="仿宋" w:eastAsia="仿宋" w:hAnsi="仿宋" w:cs="仿宋"/>
        </w:rPr>
        <w:t>年国有资本经营预算支出</w:t>
      </w:r>
      <w:r>
        <w:rPr>
          <w:rFonts w:ascii="仿宋" w:eastAsia="仿宋" w:hAnsi="仿宋" w:cs="仿宋"/>
        </w:rPr>
        <w:t>0</w:t>
      </w:r>
      <w:r>
        <w:rPr>
          <w:rFonts w:ascii="仿宋" w:eastAsia="仿宋" w:hAnsi="仿宋" w:cs="仿宋"/>
        </w:rPr>
        <w:t>万元。与上年预算数相同。</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十二、一般公共预算机关运行经费支出预算情况说明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2026</w:t>
      </w:r>
      <w:r>
        <w:rPr>
          <w:rFonts w:ascii="仿宋" w:eastAsia="仿宋" w:hAnsi="仿宋" w:cs="仿宋"/>
        </w:rPr>
        <w:t>年本部门一</w:t>
      </w:r>
      <w:r>
        <w:rPr>
          <w:rFonts w:ascii="仿宋" w:eastAsia="仿宋" w:hAnsi="仿宋" w:cs="仿宋"/>
        </w:rPr>
        <w:t>般公共预算机关运行经费预算支出</w:t>
      </w:r>
      <w:r>
        <w:rPr>
          <w:rFonts w:ascii="仿宋" w:eastAsia="仿宋" w:hAnsi="仿宋" w:cs="仿宋"/>
        </w:rPr>
        <w:t>255.12</w:t>
      </w:r>
      <w:r>
        <w:rPr>
          <w:rFonts w:ascii="仿宋" w:eastAsia="仿宋" w:hAnsi="仿宋" w:cs="仿宋"/>
        </w:rPr>
        <w:t>万元，与上年相比减少</w:t>
      </w:r>
      <w:r>
        <w:rPr>
          <w:rFonts w:ascii="仿宋" w:eastAsia="仿宋" w:hAnsi="仿宋" w:cs="仿宋"/>
        </w:rPr>
        <w:t>5.9</w:t>
      </w:r>
      <w:r>
        <w:rPr>
          <w:rFonts w:ascii="仿宋" w:eastAsia="仿宋" w:hAnsi="仿宋" w:cs="仿宋"/>
        </w:rPr>
        <w:t>万元，减少</w:t>
      </w:r>
      <w:r>
        <w:rPr>
          <w:rFonts w:ascii="仿宋" w:eastAsia="仿宋" w:hAnsi="仿宋" w:cs="仿宋"/>
        </w:rPr>
        <w:t>2.26%</w:t>
      </w:r>
      <w:r>
        <w:rPr>
          <w:rFonts w:ascii="仿宋" w:eastAsia="仿宋" w:hAnsi="仿宋" w:cs="仿宋"/>
        </w:rPr>
        <w:t>。主要原因是为落实过</w:t>
      </w:r>
      <w:r>
        <w:rPr>
          <w:rFonts w:ascii="仿宋" w:eastAsia="仿宋" w:hAnsi="仿宋" w:cs="仿宋"/>
        </w:rPr>
        <w:t>“</w:t>
      </w:r>
      <w:r>
        <w:rPr>
          <w:rFonts w:ascii="仿宋" w:eastAsia="仿宋" w:hAnsi="仿宋" w:cs="仿宋"/>
        </w:rPr>
        <w:t>紧日子</w:t>
      </w:r>
      <w:r>
        <w:rPr>
          <w:rFonts w:ascii="仿宋" w:eastAsia="仿宋" w:hAnsi="仿宋" w:cs="仿宋"/>
        </w:rPr>
        <w:t>”</w:t>
      </w:r>
      <w:r>
        <w:rPr>
          <w:rFonts w:ascii="仿宋" w:eastAsia="仿宋" w:hAnsi="仿宋" w:cs="仿宋"/>
        </w:rPr>
        <w:t>要求，主动压缩支出，故机关运行经费预算缩减。</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十三、政府采购支出预算情况说明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2026</w:t>
      </w:r>
      <w:r>
        <w:rPr>
          <w:rFonts w:ascii="仿宋" w:eastAsia="仿宋" w:hAnsi="仿宋" w:cs="仿宋"/>
        </w:rPr>
        <w:t>年度政府采购支出预算总额</w:t>
      </w:r>
      <w:r>
        <w:rPr>
          <w:rFonts w:ascii="仿宋" w:eastAsia="仿宋" w:hAnsi="仿宋" w:cs="仿宋"/>
        </w:rPr>
        <w:t>660.15</w:t>
      </w:r>
      <w:r>
        <w:rPr>
          <w:rFonts w:ascii="仿宋" w:eastAsia="仿宋" w:hAnsi="仿宋" w:cs="仿宋"/>
        </w:rPr>
        <w:t>万元，其中：拟采购货物支出</w:t>
      </w:r>
      <w:r>
        <w:rPr>
          <w:rFonts w:ascii="仿宋" w:eastAsia="仿宋" w:hAnsi="仿宋" w:cs="仿宋"/>
        </w:rPr>
        <w:t>18</w:t>
      </w:r>
      <w:r>
        <w:rPr>
          <w:rFonts w:ascii="仿宋" w:eastAsia="仿宋" w:hAnsi="仿宋" w:cs="仿宋"/>
        </w:rPr>
        <w:t>万元、拟采购工程支出</w:t>
      </w:r>
      <w:r>
        <w:rPr>
          <w:rFonts w:ascii="仿宋" w:eastAsia="仿宋" w:hAnsi="仿宋" w:cs="仿宋"/>
        </w:rPr>
        <w:t>0</w:t>
      </w:r>
      <w:r>
        <w:rPr>
          <w:rFonts w:ascii="仿宋" w:eastAsia="仿宋" w:hAnsi="仿宋" w:cs="仿宋"/>
        </w:rPr>
        <w:t>万元、拟采购服务支出</w:t>
      </w:r>
      <w:r>
        <w:rPr>
          <w:rFonts w:ascii="仿宋" w:eastAsia="仿宋" w:hAnsi="仿宋" w:cs="仿宋"/>
        </w:rPr>
        <w:t>642.15</w:t>
      </w:r>
      <w:r>
        <w:rPr>
          <w:rFonts w:ascii="仿宋" w:eastAsia="仿宋" w:hAnsi="仿宋" w:cs="仿宋"/>
        </w:rPr>
        <w:t>万元。</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十四、国有资产占用情况说明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本部门共有车辆</w:t>
      </w:r>
      <w:r>
        <w:rPr>
          <w:rFonts w:ascii="仿宋" w:eastAsia="仿宋" w:hAnsi="仿宋" w:cs="仿宋"/>
        </w:rPr>
        <w:t>13</w:t>
      </w:r>
      <w:r>
        <w:rPr>
          <w:rFonts w:ascii="仿宋" w:eastAsia="仿宋" w:hAnsi="仿宋" w:cs="仿宋"/>
        </w:rPr>
        <w:t>辆，其中，副部（省）级及以上领导用车</w:t>
      </w:r>
      <w:r>
        <w:rPr>
          <w:rFonts w:ascii="仿宋" w:eastAsia="仿宋" w:hAnsi="仿宋" w:cs="仿宋"/>
        </w:rPr>
        <w:t>0</w:t>
      </w:r>
      <w:r>
        <w:rPr>
          <w:rFonts w:ascii="仿宋" w:eastAsia="仿宋" w:hAnsi="仿宋" w:cs="仿宋"/>
        </w:rPr>
        <w:t>辆、主要负责人用车</w:t>
      </w:r>
      <w:r>
        <w:rPr>
          <w:rFonts w:ascii="仿宋" w:eastAsia="仿宋" w:hAnsi="仿宋" w:cs="仿宋"/>
        </w:rPr>
        <w:t>0</w:t>
      </w:r>
      <w:r>
        <w:rPr>
          <w:rFonts w:ascii="仿宋" w:eastAsia="仿宋" w:hAnsi="仿宋" w:cs="仿宋"/>
        </w:rPr>
        <w:t>辆、机要通信用车</w:t>
      </w:r>
      <w:r>
        <w:rPr>
          <w:rFonts w:ascii="仿宋" w:eastAsia="仿宋" w:hAnsi="仿宋" w:cs="仿宋"/>
        </w:rPr>
        <w:t>0</w:t>
      </w:r>
      <w:r>
        <w:rPr>
          <w:rFonts w:ascii="仿宋" w:eastAsia="仿宋" w:hAnsi="仿宋" w:cs="仿宋"/>
        </w:rPr>
        <w:t>辆、应急保障用车</w:t>
      </w:r>
      <w:r>
        <w:rPr>
          <w:rFonts w:ascii="仿宋" w:eastAsia="仿宋" w:hAnsi="仿宋" w:cs="仿宋"/>
        </w:rPr>
        <w:t>0</w:t>
      </w:r>
      <w:r>
        <w:rPr>
          <w:rFonts w:ascii="仿宋" w:eastAsia="仿宋" w:hAnsi="仿宋" w:cs="仿宋"/>
        </w:rPr>
        <w:t>辆、执法执勤用车</w:t>
      </w:r>
      <w:r>
        <w:rPr>
          <w:rFonts w:ascii="仿宋" w:eastAsia="仿宋" w:hAnsi="仿宋" w:cs="仿宋"/>
        </w:rPr>
        <w:t>0</w:t>
      </w:r>
      <w:r>
        <w:rPr>
          <w:rFonts w:ascii="仿宋" w:eastAsia="仿宋" w:hAnsi="仿宋" w:cs="仿宋"/>
        </w:rPr>
        <w:t>辆、特种专业技术用车</w:t>
      </w:r>
      <w:r>
        <w:rPr>
          <w:rFonts w:ascii="仿宋" w:eastAsia="仿宋" w:hAnsi="仿宋" w:cs="仿宋"/>
        </w:rPr>
        <w:t>0</w:t>
      </w:r>
      <w:r>
        <w:rPr>
          <w:rFonts w:ascii="仿宋" w:eastAsia="仿宋" w:hAnsi="仿宋" w:cs="仿宋"/>
        </w:rPr>
        <w:t>辆、离退休干部用车</w:t>
      </w:r>
      <w:r>
        <w:rPr>
          <w:rFonts w:ascii="仿宋" w:eastAsia="仿宋" w:hAnsi="仿宋" w:cs="仿宋"/>
        </w:rPr>
        <w:t>0</w:t>
      </w:r>
      <w:r>
        <w:rPr>
          <w:rFonts w:ascii="仿宋" w:eastAsia="仿宋" w:hAnsi="仿宋" w:cs="仿宋"/>
        </w:rPr>
        <w:t>辆，其他用车</w:t>
      </w:r>
      <w:r>
        <w:rPr>
          <w:rFonts w:ascii="仿宋" w:eastAsia="仿宋" w:hAnsi="仿宋" w:cs="仿宋"/>
        </w:rPr>
        <w:t>13</w:t>
      </w:r>
      <w:r>
        <w:rPr>
          <w:rFonts w:ascii="仿宋" w:eastAsia="仿宋" w:hAnsi="仿宋" w:cs="仿宋"/>
        </w:rPr>
        <w:t>辆；单价</w:t>
      </w:r>
      <w:r>
        <w:rPr>
          <w:rFonts w:ascii="仿宋" w:eastAsia="仿宋" w:hAnsi="仿宋" w:cs="仿宋"/>
        </w:rPr>
        <w:t>100</w:t>
      </w:r>
      <w:r>
        <w:rPr>
          <w:rFonts w:ascii="仿宋" w:eastAsia="仿宋" w:hAnsi="仿宋" w:cs="仿宋"/>
        </w:rPr>
        <w:t>万元（含）以上的设备</w:t>
      </w:r>
      <w:r>
        <w:rPr>
          <w:rFonts w:ascii="仿宋" w:eastAsia="仿宋" w:hAnsi="仿宋" w:cs="仿宋"/>
        </w:rPr>
        <w:t>7</w:t>
      </w:r>
      <w:r>
        <w:rPr>
          <w:rFonts w:ascii="仿宋" w:eastAsia="仿宋" w:hAnsi="仿宋" w:cs="仿宋"/>
        </w:rPr>
        <w:t>台（套）。</w:t>
      </w:r>
    </w:p>
    <w:p w:rsidR="00BA3F0B" w:rsidRDefault="00827830" w:rsidP="00FB305E">
      <w:pPr>
        <w:pStyle w:val="a4"/>
        <w:tabs>
          <w:tab w:val="left" w:pos="3864"/>
          <w:tab w:val="left" w:pos="6248"/>
          <w:tab w:val="left" w:pos="7386"/>
        </w:tabs>
        <w:overflowPunct w:val="0"/>
        <w:spacing w:before="1" w:line="360" w:lineRule="auto"/>
        <w:ind w:leftChars="200" w:left="440" w:right="420" w:firstLineChars="206" w:firstLine="662"/>
        <w:jc w:val="both"/>
        <w:rPr>
          <w:rFonts w:ascii="仿宋" w:eastAsia="仿宋" w:hAnsi="仿宋" w:cs="仿宋"/>
          <w:lang w:val="en-US"/>
        </w:rPr>
      </w:pPr>
      <w:r>
        <w:rPr>
          <w:rFonts w:ascii="仿宋" w:eastAsia="仿宋" w:hAnsi="仿宋" w:cs="仿宋"/>
          <w:b/>
        </w:rPr>
        <w:t>十五、预算绩效目标设置情况说明</w:t>
      </w:r>
    </w:p>
    <w:p w:rsidR="00BA3F0B" w:rsidRDefault="00827830">
      <w:pPr>
        <w:pStyle w:val="a4"/>
        <w:tabs>
          <w:tab w:val="left" w:pos="3864"/>
          <w:tab w:val="left" w:pos="6248"/>
          <w:tab w:val="left" w:pos="7386"/>
        </w:tabs>
        <w:overflowPunct w:val="0"/>
        <w:spacing w:before="1" w:line="360" w:lineRule="auto"/>
        <w:ind w:leftChars="200" w:left="440" w:right="420" w:firstLineChars="206" w:firstLine="659"/>
        <w:jc w:val="both"/>
        <w:rPr>
          <w:rFonts w:ascii="仿宋" w:eastAsia="仿宋" w:hAnsi="仿宋" w:cs="仿宋"/>
          <w:lang w:val="en-US"/>
        </w:rPr>
      </w:pPr>
      <w:r>
        <w:rPr>
          <w:rFonts w:ascii="仿宋" w:eastAsia="仿宋" w:hAnsi="仿宋" w:cs="仿宋"/>
        </w:rPr>
        <w:t>2026</w:t>
      </w:r>
      <w:r>
        <w:rPr>
          <w:rFonts w:ascii="仿宋" w:eastAsia="仿宋" w:hAnsi="仿宋" w:cs="仿宋"/>
        </w:rPr>
        <w:t>年度，本部门整体支出纳入绩效目标管理，涉及财政性资金</w:t>
      </w:r>
      <w:r>
        <w:rPr>
          <w:rFonts w:ascii="仿宋" w:eastAsia="仿宋" w:hAnsi="仿宋" w:cs="仿宋"/>
        </w:rPr>
        <w:t>55,354.12</w:t>
      </w:r>
      <w:r>
        <w:rPr>
          <w:rFonts w:ascii="仿宋" w:eastAsia="仿宋" w:hAnsi="仿宋" w:cs="仿宋"/>
        </w:rPr>
        <w:t>万元；本部门共</w:t>
      </w:r>
      <w:r>
        <w:rPr>
          <w:rFonts w:ascii="仿宋" w:eastAsia="仿宋" w:hAnsi="仿宋" w:cs="仿宋"/>
        </w:rPr>
        <w:t>53</w:t>
      </w:r>
      <w:r>
        <w:rPr>
          <w:rFonts w:ascii="仿宋" w:eastAsia="仿宋" w:hAnsi="仿宋" w:cs="仿宋"/>
        </w:rPr>
        <w:t>个项目纳入绩效目标管理，涉及财政性资金合计</w:t>
      </w:r>
      <w:r>
        <w:rPr>
          <w:rFonts w:ascii="仿宋" w:eastAsia="仿宋" w:hAnsi="仿宋" w:cs="仿宋"/>
        </w:rPr>
        <w:t>38,623.85</w:t>
      </w:r>
      <w:r>
        <w:rPr>
          <w:rFonts w:ascii="仿宋" w:eastAsia="仿宋" w:hAnsi="仿宋" w:cs="仿宋"/>
        </w:rPr>
        <w:t>万元，占财政性资金</w:t>
      </w:r>
      <w:r>
        <w:rPr>
          <w:rFonts w:ascii="仿宋" w:eastAsia="仿宋" w:hAnsi="仿宋" w:cs="仿宋"/>
        </w:rPr>
        <w:t>(</w:t>
      </w:r>
      <w:r>
        <w:rPr>
          <w:rFonts w:ascii="仿宋" w:eastAsia="仿宋" w:hAnsi="仿宋" w:cs="仿宋"/>
        </w:rPr>
        <w:t>人员类和运转类中的公用经费项目支出除外</w:t>
      </w:r>
      <w:r>
        <w:rPr>
          <w:rFonts w:ascii="仿宋" w:eastAsia="仿宋" w:hAnsi="仿宋" w:cs="仿宋"/>
        </w:rPr>
        <w:t>)</w:t>
      </w:r>
      <w:r>
        <w:rPr>
          <w:rFonts w:ascii="仿宋" w:eastAsia="仿宋" w:hAnsi="仿宋" w:cs="仿宋"/>
        </w:rPr>
        <w:t>总额的比例为</w:t>
      </w:r>
      <w:r>
        <w:rPr>
          <w:rFonts w:ascii="仿宋" w:eastAsia="仿宋" w:hAnsi="仿宋" w:cs="仿宋"/>
        </w:rPr>
        <w:t>100%</w:t>
      </w:r>
      <w:r>
        <w:rPr>
          <w:rFonts w:ascii="仿宋" w:eastAsia="仿宋" w:hAnsi="仿宋" w:cs="仿宋"/>
        </w:rPr>
        <w:t>。</w:t>
      </w:r>
    </w:p>
    <w:p w:rsidR="00BA3F0B" w:rsidRDefault="00827830">
      <w:pPr>
        <w:pStyle w:val="a4"/>
        <w:tabs>
          <w:tab w:val="left" w:pos="3864"/>
          <w:tab w:val="left" w:pos="6248"/>
          <w:tab w:val="left" w:pos="7386"/>
        </w:tabs>
        <w:jc w:val="center"/>
        <w:rPr>
          <w:rFonts w:ascii="仿宋" w:eastAsia="仿宋" w:hAnsi="仿宋" w:cs="仿宋"/>
          <w:b/>
          <w:bCs/>
          <w:sz w:val="36"/>
          <w:szCs w:val="36"/>
        </w:rPr>
      </w:pPr>
      <w:r>
        <w:rPr>
          <w:rFonts w:ascii="仿宋" w:eastAsia="仿宋" w:hAnsi="仿宋" w:cs="仿宋" w:hint="eastAsia"/>
          <w:b/>
          <w:bCs/>
          <w:sz w:val="36"/>
          <w:szCs w:val="36"/>
        </w:rPr>
        <w:t>第四部分</w:t>
      </w:r>
      <w:r>
        <w:rPr>
          <w:rFonts w:ascii="仿宋" w:eastAsia="仿宋" w:hAnsi="仿宋" w:cs="仿宋" w:hint="eastAsia"/>
          <w:b/>
          <w:bCs/>
          <w:sz w:val="36"/>
          <w:szCs w:val="36"/>
        </w:rPr>
        <w:t xml:space="preserve"> </w:t>
      </w:r>
      <w:r>
        <w:rPr>
          <w:rFonts w:ascii="仿宋" w:eastAsia="仿宋" w:hAnsi="仿宋" w:cs="仿宋" w:hint="eastAsia"/>
          <w:b/>
          <w:bCs/>
          <w:sz w:val="36"/>
          <w:szCs w:val="36"/>
        </w:rPr>
        <w:t>名词解释</w:t>
      </w:r>
    </w:p>
    <w:p w:rsidR="00BA3F0B" w:rsidRDefault="00BA3F0B">
      <w:pPr>
        <w:pStyle w:val="a4"/>
        <w:tabs>
          <w:tab w:val="left" w:pos="3864"/>
          <w:tab w:val="left" w:pos="6248"/>
          <w:tab w:val="left" w:pos="7386"/>
        </w:tabs>
        <w:ind w:leftChars="200" w:left="440" w:firstLineChars="206" w:firstLine="659"/>
        <w:jc w:val="both"/>
        <w:rPr>
          <w:rFonts w:ascii="仿宋" w:eastAsia="仿宋" w:hAnsi="仿宋" w:cs="仿宋"/>
        </w:rPr>
      </w:pP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一、财政拨款</w:t>
      </w:r>
      <w:r>
        <w:rPr>
          <w:rFonts w:ascii="仿宋" w:eastAsia="仿宋" w:hAnsi="仿宋" w:cs="仿宋"/>
          <w:b/>
        </w:rPr>
        <w:t>：</w:t>
      </w:r>
      <w:r>
        <w:rPr>
          <w:rFonts w:ascii="仿宋" w:eastAsia="仿宋" w:hAnsi="仿宋" w:cs="仿宋" w:hint="eastAsia"/>
        </w:rPr>
        <w:t>单位从同级财政部门取得的各类财政拨款，包括一般公共预算拨款、政府性基金预算拨款、国有资本经营预算拨款。</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二、财政专户管理资金</w:t>
      </w:r>
      <w:r>
        <w:rPr>
          <w:rFonts w:ascii="仿宋" w:eastAsia="仿宋" w:hAnsi="仿宋" w:cs="仿宋"/>
          <w:b/>
        </w:rPr>
        <w:t>：</w:t>
      </w:r>
      <w:r>
        <w:rPr>
          <w:rFonts w:ascii="仿宋" w:eastAsia="仿宋" w:hAnsi="仿宋" w:cs="仿宋" w:hint="eastAsia"/>
        </w:rPr>
        <w:t>缴入财政专户、实行专项管理的高中以上学费、住宿费、高校委托培养费、函大、电大、夜大及短训班培训费等教育收费。</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三、单位资金</w:t>
      </w:r>
      <w:r>
        <w:rPr>
          <w:rFonts w:ascii="仿宋" w:eastAsia="仿宋" w:hAnsi="仿宋" w:cs="仿宋"/>
          <w:b/>
        </w:rPr>
        <w:t>：</w:t>
      </w:r>
      <w:r>
        <w:rPr>
          <w:rFonts w:ascii="仿宋" w:eastAsia="仿宋" w:hAnsi="仿宋" w:cs="仿宋" w:hint="eastAsia"/>
        </w:rPr>
        <w:t>除财政拨款收入和财政专户管理资金以外的收入，包括事业收入（不含教育收费）、上级补助收入、附属单位上缴收入、事业单位经营收入及其他收入（包含债务收入、投资收益等）。</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四、基本支出</w:t>
      </w:r>
      <w:r>
        <w:rPr>
          <w:rFonts w:ascii="仿宋" w:eastAsia="仿宋" w:hAnsi="仿宋" w:cs="仿宋"/>
          <w:b/>
        </w:rPr>
        <w:t>：</w:t>
      </w:r>
      <w:r>
        <w:rPr>
          <w:rFonts w:ascii="仿宋" w:eastAsia="仿宋" w:hAnsi="仿宋" w:cs="仿宋" w:hint="eastAsia"/>
        </w:rPr>
        <w:t>指为保障机构正常运转、完成工作任务而发生的人员支出和公用支出。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五、项目支出</w:t>
      </w:r>
      <w:r>
        <w:rPr>
          <w:rFonts w:ascii="仿宋" w:eastAsia="仿宋" w:hAnsi="仿宋" w:cs="仿宋"/>
          <w:b/>
        </w:rPr>
        <w:t>：</w:t>
      </w:r>
      <w:r>
        <w:rPr>
          <w:rFonts w:ascii="仿宋" w:eastAsia="仿宋" w:hAnsi="仿宋" w:cs="仿宋" w:hint="eastAsia"/>
        </w:rPr>
        <w:t>指在基本支出之外为完成特定工作任务和事业发展目标所发生的支出。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六、“三公”经费</w:t>
      </w:r>
      <w:r>
        <w:rPr>
          <w:rFonts w:ascii="仿宋" w:eastAsia="仿宋" w:hAnsi="仿宋" w:cs="仿宋"/>
          <w:b/>
        </w:rPr>
        <w:t>：</w:t>
      </w:r>
      <w:r>
        <w:rPr>
          <w:rFonts w:ascii="仿宋" w:eastAsia="仿宋" w:hAnsi="仿宋" w:cs="仿宋" w:hint="eastAsia"/>
        </w:rPr>
        <w:t>指部门用一般公共预算财政拨款</w:t>
      </w:r>
      <w:r>
        <w:rPr>
          <w:rFonts w:ascii="仿宋" w:eastAsia="仿宋" w:hAnsi="仿宋" w:cs="仿宋" w:hint="eastAsia"/>
        </w:rPr>
        <w:t>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七、机关运行经费</w:t>
      </w:r>
      <w:r>
        <w:rPr>
          <w:rFonts w:ascii="仿宋" w:eastAsia="仿宋" w:hAnsi="仿宋" w:cs="仿宋"/>
          <w:b/>
        </w:rPr>
        <w:t>：</w:t>
      </w:r>
      <w:r>
        <w:rPr>
          <w:rFonts w:ascii="仿宋" w:eastAsia="仿宋" w:hAnsi="仿宋" w:cs="仿宋" w:hint="eastAsia"/>
        </w:rPr>
        <w:t>指行政单位（含参照公务员法管理的事业单位）使用一般公共预算安排的基本支出中的日常公用经费支出，包括办公及印刷费、邮电费、差旅费、会议费、福利费、日常维修费、专用材料及一般设</w:t>
      </w:r>
      <w:r>
        <w:rPr>
          <w:rFonts w:ascii="仿宋" w:eastAsia="仿宋" w:hAnsi="仿宋" w:cs="仿宋" w:hint="eastAsia"/>
        </w:rPr>
        <w:t>备购置费、办公用房水电费、办公用房取暖费、办公用房物业管理费、公务用车运行维护费及其他费用等。</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八、社会保障和就业支出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机关事业单位基本养老保险缴费支出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反映机关事业单位实施养老保险制度由单位缴纳的基本养老保险费支出。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九、社会保障和就业支出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行政事业单位养老支出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机关事业单位职业年金缴费支出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反映机关事业单位实施养老保险制度由单位实际缴纳的职业年金支出（含职业年金补记支出）。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行政单位医疗</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w:t>
      </w:r>
      <w:r>
        <w:rPr>
          <w:rFonts w:ascii="仿宋" w:eastAsia="仿宋" w:hAnsi="仿宋" w:cs="仿宋" w:hint="eastAsia"/>
        </w:rPr>
        <w:t>的行政单位（包括实行公务员管理的事业单位，下同）基本医疗保险缴费经费，未参加医疗保险的行政单位的公费医疗经费，按国家规定享受离休人员、红军老战士待遇人员的医疗经费。</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十一、卫生健康支出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行政事业单位医疗</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事业单位医疗</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反映财政部门安排的事业单位基本医疗保险缴费经费，未参加医疗保险的事业单位的公费医疗经费，按国家规定享受离休人员待遇的医疗经费。</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十二、城乡社区支出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城乡社区管理事务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其他城乡社区管理事务支出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反映除上述项目以外其他用于城乡社区管理事务方面的支出。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十三、城乡社区支出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城乡社区规划与管理</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城乡社区规划与管理</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反映城乡社区、防灾减灾、历史名城规划制定与管理等方面的支出。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十四、城乡社区支出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其他城乡社区支出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其他城乡社区支出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反映除上述项目以外其他用于城乡社区方面的支出。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十五、农林水支出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林业和草原</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事业机构</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反映事业单位的基本支出，不包括行政单位（含实行公务员管理的事业单位）后勤服务中心等附属事业单位的支出。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十六、农林水支出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林业和草原</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其他林业和草原支出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反映除上述项目以外其他用于林业和草原方面的支出。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十七</w:t>
      </w:r>
      <w:r>
        <w:rPr>
          <w:rFonts w:ascii="仿宋" w:eastAsia="仿宋" w:hAnsi="仿宋" w:cs="仿宋" w:hint="eastAsia"/>
          <w:b/>
          <w:bCs/>
        </w:rPr>
        <w:t>、自然资源海洋气象等支出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自然资源事务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行政运行</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反映行政单位（包括实行公务员管理的事业单位）的基本支出。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十八、自然资源海洋气象等支出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自然资源事务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自然资源行业业务管理</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反映自然资源行业业务管理经费支出，包括行业标准和规程、政策法规、审计监督、队伍建设等方面的支出。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十九、自然资源海洋气象等支出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自然资源事务</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其他自然资源事务支出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反映除上述项目以外其他用于自然资源事务方面的支出。</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住房公积金</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反映行政事业单位按人力资源和社会保障部、财政部规定的基本工资和津贴补贴以及规定比例为职工缴纳的住房公积金。</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二十一、住房保障支出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提租补贴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反映按房改政策规定的标准，行政事业单位向职工（含离退休人员）发放的租金补贴。</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二十二、住房保障支出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住房改革支出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购房补贴</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反映按房改政策规定，行政事业单位向符合条件职工（含离退休人员）、军队</w:t>
      </w:r>
      <w:r>
        <w:rPr>
          <w:rFonts w:ascii="仿宋" w:eastAsia="仿宋" w:hAnsi="仿宋" w:cs="仿宋" w:hint="eastAsia"/>
        </w:rPr>
        <w:t>(</w:t>
      </w:r>
      <w:r>
        <w:rPr>
          <w:rFonts w:ascii="仿宋" w:eastAsia="仿宋" w:hAnsi="仿宋" w:cs="仿宋" w:hint="eastAsia"/>
        </w:rPr>
        <w:t>含武警</w:t>
      </w:r>
      <w:r>
        <w:rPr>
          <w:rFonts w:ascii="仿宋" w:eastAsia="仿宋" w:hAnsi="仿宋" w:cs="仿宋" w:hint="eastAsia"/>
        </w:rPr>
        <w:t>)</w:t>
      </w:r>
      <w:r>
        <w:rPr>
          <w:rFonts w:ascii="仿宋" w:eastAsia="仿宋" w:hAnsi="仿宋" w:cs="仿宋" w:hint="eastAsia"/>
        </w:rPr>
        <w:t>向转役复员离退休人员发放的用于购买住房的补贴。</w:t>
      </w:r>
    </w:p>
    <w:p w:rsidR="00BA3F0B" w:rsidRDefault="00827830">
      <w:pPr>
        <w:pStyle w:val="a4"/>
        <w:tabs>
          <w:tab w:val="left" w:pos="3864"/>
          <w:tab w:val="left" w:pos="6248"/>
          <w:tab w:val="left" w:pos="7386"/>
        </w:tabs>
        <w:spacing w:line="360" w:lineRule="auto"/>
        <w:ind w:leftChars="200" w:left="440" w:rightChars="229" w:right="504" w:firstLineChars="206" w:firstLine="662"/>
        <w:jc w:val="both"/>
        <w:rPr>
          <w:rFonts w:ascii="仿宋" w:eastAsia="仿宋" w:hAnsi="仿宋" w:cs="仿宋"/>
        </w:rPr>
      </w:pPr>
      <w:r>
        <w:rPr>
          <w:rFonts w:ascii="仿宋" w:eastAsia="仿宋" w:hAnsi="仿宋" w:cs="仿宋" w:hint="eastAsia"/>
          <w:b/>
          <w:bCs/>
        </w:rPr>
        <w:t>二十三、灾害防治及应急管理支出</w:t>
      </w:r>
      <w:r>
        <w:rPr>
          <w:rFonts w:ascii="仿宋" w:eastAsia="仿宋" w:hAnsi="仿宋" w:cs="仿宋" w:hint="eastAsia"/>
          <w:b/>
          <w:bCs/>
        </w:rPr>
        <w:t>(</w:t>
      </w:r>
      <w:r>
        <w:rPr>
          <w:rFonts w:ascii="仿宋" w:eastAsia="仿宋" w:hAnsi="仿宋" w:cs="仿宋" w:hint="eastAsia"/>
          <w:b/>
          <w:bCs/>
        </w:rPr>
        <w:t>类</w:t>
      </w:r>
      <w:r>
        <w:rPr>
          <w:rFonts w:ascii="仿宋" w:eastAsia="仿宋" w:hAnsi="仿宋" w:cs="仿宋" w:hint="eastAsia"/>
          <w:b/>
          <w:bCs/>
        </w:rPr>
        <w:t>)</w:t>
      </w:r>
      <w:r>
        <w:rPr>
          <w:rFonts w:ascii="仿宋" w:eastAsia="仿宋" w:hAnsi="仿宋" w:cs="仿宋" w:hint="eastAsia"/>
          <w:b/>
          <w:bCs/>
        </w:rPr>
        <w:t>其他灾害防治及应急管理支出</w:t>
      </w:r>
      <w:r>
        <w:rPr>
          <w:rFonts w:ascii="仿宋" w:eastAsia="仿宋" w:hAnsi="仿宋" w:cs="仿宋" w:hint="eastAsia"/>
          <w:b/>
          <w:bCs/>
        </w:rPr>
        <w:t>(</w:t>
      </w:r>
      <w:r>
        <w:rPr>
          <w:rFonts w:ascii="仿宋" w:eastAsia="仿宋" w:hAnsi="仿宋" w:cs="仿宋" w:hint="eastAsia"/>
          <w:b/>
          <w:bCs/>
        </w:rPr>
        <w:t>款</w:t>
      </w:r>
      <w:r>
        <w:rPr>
          <w:rFonts w:ascii="仿宋" w:eastAsia="仿宋" w:hAnsi="仿宋" w:cs="仿宋" w:hint="eastAsia"/>
          <w:b/>
          <w:bCs/>
        </w:rPr>
        <w:t>)</w:t>
      </w:r>
      <w:r>
        <w:rPr>
          <w:rFonts w:ascii="仿宋" w:eastAsia="仿宋" w:hAnsi="仿宋" w:cs="仿宋" w:hint="eastAsia"/>
          <w:b/>
          <w:bCs/>
        </w:rPr>
        <w:t>其他灾害防治及应急管理支出</w:t>
      </w:r>
      <w:r>
        <w:rPr>
          <w:rFonts w:ascii="仿宋" w:eastAsia="仿宋" w:hAnsi="仿宋" w:cs="仿宋" w:hint="eastAsia"/>
          <w:b/>
          <w:bCs/>
        </w:rPr>
        <w:t>(</w:t>
      </w:r>
      <w:r>
        <w:rPr>
          <w:rFonts w:ascii="仿宋" w:eastAsia="仿宋" w:hAnsi="仿宋" w:cs="仿宋" w:hint="eastAsia"/>
          <w:b/>
          <w:bCs/>
        </w:rPr>
        <w:t>项</w:t>
      </w:r>
      <w:r>
        <w:rPr>
          <w:rFonts w:ascii="仿宋" w:eastAsia="仿宋" w:hAnsi="仿宋" w:cs="仿宋" w:hint="eastAsia"/>
          <w:b/>
          <w:bCs/>
        </w:rPr>
        <w:t>)</w:t>
      </w:r>
      <w:r>
        <w:rPr>
          <w:rFonts w:ascii="仿宋" w:eastAsia="仿宋" w:hAnsi="仿宋" w:cs="仿宋"/>
          <w:b/>
        </w:rPr>
        <w:t>：</w:t>
      </w:r>
      <w:r>
        <w:rPr>
          <w:rFonts w:ascii="仿宋" w:eastAsia="仿宋" w:hAnsi="仿宋" w:cs="仿宋" w:hint="eastAsia"/>
        </w:rPr>
        <w:t>反映除上述项目以外其他用于灾害防治及应急管理的支出。</w:t>
      </w:r>
    </w:p>
    <w:sectPr w:rsidR="00BA3F0B">
      <w:pgSz w:w="11906" w:h="16838"/>
      <w:pgMar w:top="1580" w:right="820" w:bottom="770" w:left="822" w:header="170" w:footer="280" w:gutter="0"/>
      <w:pgNumType w:fmt="numberInDash"/>
      <w:cols w:space="720"/>
      <w:formProt w:val="0"/>
      <w:docGrid w:linePitch="10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7830" w:rsidRDefault="00827830">
      <w:r>
        <w:separator/>
      </w:r>
    </w:p>
  </w:endnote>
  <w:endnote w:type="continuationSeparator" w:id="0">
    <w:p w:rsidR="00827830" w:rsidRDefault="008278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Times New Roman">
    <w:panose1 w:val="02020603050405020304"/>
    <w:charset w:val="00"/>
    <w:family w:val="roman"/>
    <w:pitch w:val="variable"/>
    <w:sig w:usb0="E0002AFF" w:usb1="C0007841" w:usb2="00000009" w:usb3="00000000" w:csb0="000001FF" w:csb1="00000000"/>
  </w:font>
  <w:font w:name="Liberation Sans">
    <w:altName w:val="宋体"/>
    <w:charset w:val="86"/>
    <w:family w:val="roman"/>
    <w:pitch w:val="default"/>
    <w:sig w:usb0="00000000" w:usb1="00000000" w:usb2="00000021" w:usb3="00000000" w:csb0="600001BF" w:csb1="DFF70000"/>
  </w:font>
  <w:font w:name="Liberation Mono">
    <w:altName w:val="宋体"/>
    <w:charset w:val="86"/>
    <w:family w:val="roman"/>
    <w:pitch w:val="default"/>
    <w:sig w:usb0="00000000" w:usb1="00000000" w:usb2="00000001" w:usb3="00000000" w:csb0="600001BF" w:csb1="DFF70000"/>
  </w:font>
  <w:font w:name="新宋体">
    <w:panose1 w:val="02010609030101010101"/>
    <w:charset w:val="86"/>
    <w:family w:val="modern"/>
    <w:pitch w:val="fixed"/>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华文仿宋">
    <w:altName w:val="仿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rPr>
        <w:rFonts w:ascii="黑体" w:eastAsia="黑体" w:hAnsi="黑体" w:cs="黑体"/>
      </w:rPr>
    </w:pPr>
    <w:r>
      <w:rPr>
        <w:rFonts w:ascii="黑体" w:eastAsia="黑体" w:hAnsi="黑体" w:cs="黑体"/>
        <w:noProof/>
        <w:lang w:val="en-US" w:bidi="ar-SA"/>
      </w:rPr>
      <mc:AlternateContent>
        <mc:Choice Requires="wps">
          <w:drawing>
            <wp:anchor distT="0" distB="0" distL="114300" distR="114300" simplePos="0" relativeHeight="251651072" behindDoc="0" locked="0" layoutInCell="1" allowOverlap="1">
              <wp:simplePos x="0" y="0"/>
              <wp:positionH relativeFrom="margin">
                <wp:align>center</wp:align>
              </wp:positionH>
              <wp:positionV relativeFrom="paragraph">
                <wp:posOffset>0</wp:posOffset>
              </wp:positionV>
              <wp:extent cx="286385" cy="147955"/>
              <wp:effectExtent l="0" t="0" r="0" b="0"/>
              <wp:wrapNone/>
              <wp:docPr id="16"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638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sidR="00FB305E">
                            <w:rPr>
                              <w:rFonts w:ascii="黑体" w:eastAsia="黑体" w:hAnsi="黑体" w:cs="黑体"/>
                              <w:noProof/>
                            </w:rPr>
                            <w:t>- 1 -</w:t>
                          </w:r>
                          <w:r>
                            <w:rPr>
                              <w:rFonts w:ascii="黑体" w:eastAsia="黑体" w:hAnsi="黑体" w:cs="黑体"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left:0;text-align:left;margin-left:0;margin-top:0;width:22.55pt;height:11.65pt;z-index:25165107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" filled="f" stroked="f">
              <v:textbox style="mso-fit-shape-to-text:t" inset="0,0,0,0">
                <w:txbxContent>
                  <w:p w:rsidR="00BA3F0B" w:rsidRDefault="00827830">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sidR="00FB305E">
                      <w:rPr>
                        <w:rFonts w:ascii="黑体" w:eastAsia="黑体" w:hAnsi="黑体" w:cs="黑体"/>
                        <w:noProof/>
                      </w:rPr>
                      <w:t>- 1 -</w:t>
                    </w:r>
                    <w:r>
                      <w:rPr>
                        <w:rFonts w:ascii="黑体" w:eastAsia="黑体" w:hAnsi="黑体" w:cs="黑体" w:hint="eastAsia"/>
                      </w:rPr>
                      <w:fldChar w:fldCharType="end"/>
                    </w:r>
                  </w:p>
                </w:txbxContent>
              </v:textbox>
              <w10:wrap anchorx="margin"/>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rPr>
        <w:rFonts w:ascii="黑体" w:eastAsia="黑体" w:hAnsi="黑体" w:cs="黑体"/>
      </w:rPr>
    </w:pPr>
    <w:r>
      <w:rPr>
        <w:rFonts w:ascii="黑体" w:eastAsia="黑体" w:hAnsi="黑体" w:cs="黑体"/>
        <w:noProof/>
        <w:lang w:val="en-US" w:bidi="ar-SA"/>
      </w:rPr>
      <mc:AlternateContent>
        <mc:Choice Requires="wps">
          <w:drawing>
            <wp:anchor distT="0" distB="0" distL="114300" distR="114300" simplePos="0" relativeHeight="251652096" behindDoc="0" locked="0" layoutInCell="1" allowOverlap="1">
              <wp:simplePos x="0" y="0"/>
              <wp:positionH relativeFrom="margin">
                <wp:align>center</wp:align>
              </wp:positionH>
              <wp:positionV relativeFrom="paragraph">
                <wp:posOffset>0</wp:posOffset>
              </wp:positionV>
              <wp:extent cx="343535" cy="147955"/>
              <wp:effectExtent l="0" t="0" r="0" b="0"/>
              <wp:wrapNone/>
              <wp:docPr id="15" name="Text Box 10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3535" cy="1479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sidR="00FB305E">
                            <w:rPr>
                              <w:rFonts w:ascii="黑体" w:eastAsia="黑体" w:hAnsi="黑体" w:cs="黑体"/>
                              <w:noProof/>
                            </w:rPr>
                            <w:t>- 12 -</w:t>
                          </w:r>
                          <w:r>
                            <w:rPr>
                              <w:rFonts w:ascii="黑体" w:eastAsia="黑体" w:hAnsi="黑体" w:cs="黑体"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41" o:spid="_x0000_s1027" type="#_x0000_t202" style="position:absolute;left:0;text-align:left;margin-left:0;margin-top:0;width:27.05pt;height:11.65pt;z-index:25165209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" filled="f" stroked="f">
              <v:textbox style="mso-fit-shape-to-text:t" inset="0,0,0,0">
                <w:txbxContent>
                  <w:p w:rsidR="00BA3F0B" w:rsidRDefault="00827830">
                    <w:pPr>
                      <w:pStyle w:val="a5"/>
                      <w:rPr>
                        <w:rFonts w:ascii="黑体" w:eastAsia="黑体" w:hAnsi="黑体" w:cs="黑体"/>
                      </w:rPr>
                    </w:pPr>
                    <w:r>
                      <w:rPr>
                        <w:rFonts w:ascii="黑体" w:eastAsia="黑体" w:hAnsi="黑体" w:cs="黑体" w:hint="eastAsia"/>
                      </w:rPr>
                      <w:fldChar w:fldCharType="begin"/>
                    </w:r>
                    <w:r>
                      <w:rPr>
                        <w:rFonts w:ascii="黑体" w:eastAsia="黑体" w:hAnsi="黑体" w:cs="黑体" w:hint="eastAsia"/>
                      </w:rPr>
                      <w:instrText xml:space="preserve"> PAGE  \* MERGEFORMAT </w:instrText>
                    </w:r>
                    <w:r>
                      <w:rPr>
                        <w:rFonts w:ascii="黑体" w:eastAsia="黑体" w:hAnsi="黑体" w:cs="黑体" w:hint="eastAsia"/>
                      </w:rPr>
                      <w:fldChar w:fldCharType="separate"/>
                    </w:r>
                    <w:r w:rsidR="00FB305E">
                      <w:rPr>
                        <w:rFonts w:ascii="黑体" w:eastAsia="黑体" w:hAnsi="黑体" w:cs="黑体"/>
                        <w:noProof/>
                      </w:rPr>
                      <w:t>- 12 -</w:t>
                    </w:r>
                    <w:r>
                      <w:rPr>
                        <w:rFonts w:ascii="黑体" w:eastAsia="黑体" w:hAnsi="黑体" w:cs="黑体" w:hint="eastAsia"/>
                      </w:rPr>
                      <w:fldChar w:fldCharType="end"/>
                    </w:r>
                  </w:p>
                </w:txbxContent>
              </v:textbox>
              <w10:wrap anchorx="margin"/>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53120" behindDoc="0" locked="0" layoutInCell="1" allowOverlap="1">
              <wp:simplePos x="0" y="0"/>
              <wp:positionH relativeFrom="margin">
                <wp:align>center</wp:align>
              </wp:positionH>
              <wp:positionV relativeFrom="paragraph">
                <wp:posOffset>0</wp:posOffset>
              </wp:positionV>
              <wp:extent cx="267335" cy="199390"/>
              <wp:effectExtent l="0" t="0" r="0" b="0"/>
              <wp:wrapNone/>
              <wp:docPr id="14" name="Text Box 10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335"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sidR="00FB305E">
                            <w:rPr>
                              <w:noProof/>
                            </w:rPr>
                            <w:t>- 14 -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9" o:spid="_x0000_s1028" type="#_x0000_t202" style="position:absolute;left:0;text-align:left;margin-left:0;margin-top:0;width:21.05pt;height:15.7pt;z-index:25165312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sidR="00FB305E">
                      <w:rPr>
                        <w:noProof/>
                      </w:rPr>
                      <w:t>- 14 -</w:t>
                    </w:r>
                    <w:r>
                      <w:rPr>
                        <w:rFonts w:hint="eastAsia"/>
                      </w:rPr>
                      <w:fldChar w:fldCharType="end"/>
                    </w:r>
                  </w:p>
                </w:txbxContent>
              </v:textbox>
              <w10:wrap anchorx="margin"/>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54144" behindDoc="0" locked="0" layoutInCell="1" allowOverlap="1">
              <wp:simplePos x="0" y="0"/>
              <wp:positionH relativeFrom="margin">
                <wp:align>center</wp:align>
              </wp:positionH>
              <wp:positionV relativeFrom="paragraph">
                <wp:posOffset>0</wp:posOffset>
              </wp:positionV>
              <wp:extent cx="267335" cy="199390"/>
              <wp:effectExtent l="0" t="0" r="0" b="0"/>
              <wp:wrapNone/>
              <wp:docPr id="13" name="Text Box 10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335"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sidR="00FB305E">
                            <w:rPr>
                              <w:noProof/>
                            </w:rPr>
                            <w:t>- 15 -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40" o:spid="_x0000_s1029" type="#_x0000_t202" style="position:absolute;left:0;text-align:left;margin-left:0;margin-top:0;width:21.05pt;height:15.7pt;z-index:25165414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sidR="00FB305E">
                      <w:rPr>
                        <w:noProof/>
                      </w:rPr>
                      <w:t>- 15 -</w:t>
                    </w:r>
                    <w:r>
                      <w:rPr>
                        <w:rFonts w:hint="eastAsia"/>
                      </w:rP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55168" behindDoc="0" locked="0" layoutInCell="1" allowOverlap="1">
              <wp:simplePos x="0" y="0"/>
              <wp:positionH relativeFrom="margin">
                <wp:align>center</wp:align>
              </wp:positionH>
              <wp:positionV relativeFrom="paragraph">
                <wp:posOffset>0</wp:posOffset>
              </wp:positionV>
              <wp:extent cx="267335" cy="199390"/>
              <wp:effectExtent l="0" t="0" r="0" b="0"/>
              <wp:wrapNone/>
              <wp:docPr id="12" name="Text Box 10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7335" cy="199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sidR="00FB305E">
                            <w:rPr>
                              <w:noProof/>
                            </w:rPr>
                            <w:t>- 16 -</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7" o:spid="_x0000_s1030" type="#_x0000_t202" style="position:absolute;left:0;text-align:left;margin-left:0;margin-top:0;width:21.05pt;height:15.7pt;z-index:25165516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sidR="00FB305E">
                      <w:rPr>
                        <w:noProof/>
                      </w:rPr>
                      <w:t>- 16 -</w:t>
                    </w:r>
                    <w:r>
                      <w:rPr>
                        <w:rFonts w:hint="eastAsia"/>
                      </w:rPr>
                      <w:fldChar w:fldCharType="end"/>
                    </w:r>
                  </w:p>
                </w:txbxContent>
              </v:textbox>
              <w10:wrap anchorx="margin"/>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561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Text Box 10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8" o:spid="_x0000_s1031" type="#_x0000_t202" style="position:absolute;left:0;text-align:left;margin-left:0;margin-top:0;width:2in;height:2in;z-index:25165619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7</w:t>
                    </w:r>
                    <w:r>
                      <w:rPr>
                        <w:rFonts w:hint="eastAsia"/>
                      </w:rPr>
                      <w:fldChar w:fldCharType="end"/>
                    </w:r>
                  </w:p>
                </w:txbxContent>
              </v:textbox>
              <w10:wrap anchorx="margin"/>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57216"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Text Box 10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9" o:spid="_x0000_s1032" type="#_x0000_t202" style="position:absolute;left:0;text-align:left;margin-left:0;margin-top:0;width:2in;height:2in;z-index:25165721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8</w:t>
                    </w:r>
                    <w:r>
                      <w:rPr>
                        <w:rFonts w:hint="eastAsia"/>
                      </w:rPr>
                      <w:fldChar w:fldCharType="end"/>
                    </w:r>
                  </w:p>
                </w:txbxContent>
              </v:textbox>
              <w10:wrap anchorx="margin"/>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Text Box 10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0" o:spid="_x0000_s1033" type="#_x0000_t202" style="position:absolute;left:0;text-align:left;margin-left:0;margin-top:0;width:2in;height:2in;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9</w:t>
                    </w:r>
                    <w:r>
                      <w:rPr>
                        <w:rFonts w:hint="eastAsia"/>
                      </w:rPr>
                      <w:fldChar w:fldCharType="end"/>
                    </w:r>
                  </w:p>
                </w:txbxContent>
              </v:textbox>
              <w10:wrap anchorx="margin"/>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Text Box 10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1" o:spid="_x0000_s1034" type="#_x0000_t202" style="position:absolute;left:0;text-align:left;margin-left:0;margin-top:0;width:2in;height:2in;z-index:25165926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10</w:t>
                    </w:r>
                    <w:r>
                      <w:rPr>
                        <w:rFonts w:hint="eastAsia"/>
                      </w:rPr>
                      <w:fldChar w:fldCharType="end"/>
                    </w:r>
                  </w:p>
                </w:txbxContent>
              </v:textbox>
              <w10:wrap anchorx="margin"/>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Text Box 10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2" o:spid="_x0000_s1035" type="#_x0000_t202" style="position:absolute;left:0;text-align:left;margin-left:0;margin-top:0;width:2in;height:2in;z-index:25166028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11</w:t>
                    </w:r>
                    <w:r>
                      <w:rPr>
                        <w:rFonts w:hint="eastAsia"/>
                      </w:rPr>
                      <w:fldChar w:fldCharType="end"/>
                    </w:r>
                  </w:p>
                </w:txbxContent>
              </v:textbox>
              <w10:wrap anchorx="margin"/>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Text Box 10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3" o:spid="_x0000_s1036" type="#_x0000_t202" style="position:absolute;left:0;text-align:left;margin-left:0;margin-top:0;width:2in;height:2in;z-index:25166131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12</w:t>
                    </w:r>
                    <w:r>
                      <w:rPr>
                        <w:rFonts w:hint="eastAsia"/>
                      </w:rPr>
                      <w:fldChar w:fldCharType="end"/>
                    </w:r>
                  </w:p>
                </w:txbxContent>
              </v:textbox>
              <w10:wrap anchorx="margin"/>
            </v:shape>
          </w:pict>
        </mc:Fallback>
      </mc:AlternateConten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Text Box 10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4" o:spid="_x0000_s1037" type="#_x0000_t202" style="position:absolute;left:0;text-align:left;margin-left:0;margin-top:0;width:2in;height:2in;z-index:251662336;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13</w:t>
                    </w:r>
                    <w:r>
                      <w:rPr>
                        <w:rFonts w:hint="eastAsia"/>
                      </w:rPr>
                      <w:fldChar w:fldCharType="end"/>
                    </w:r>
                  </w:p>
                </w:txbxContent>
              </v:textbox>
              <w10:wrap anchorx="margin"/>
            </v:shape>
          </w:pict>
        </mc:Fallback>
      </mc:AlternateConten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Text Box 10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5" o:spid="_x0000_s1038" type="#_x0000_t202" style="position:absolute;left:0;text-align:left;margin-left:0;margin-top:0;width:2in;height:2in;z-index:25166336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AWDGkArgIAALMFAAAOAAAAAAAAAAAAAAAA&#10;AC4CAABkcnMvZTJvRG9jLnhtbFBLAQItABQABgAIAAAAIQAMSvDu1gAAAAUBAAAPAAAAAAAAAAAA&#10;AAAAAAgFAABkcnMvZG93bnJldi54bWxQSwUGAAAAAAQABADzAAAACwY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14</w:t>
                    </w:r>
                    <w:r>
                      <w:rPr>
                        <w:rFonts w:hint="eastAsia"/>
                      </w:rPr>
                      <w:fldChar w:fldCharType="end"/>
                    </w:r>
                  </w:p>
                </w:txbxContent>
              </v:textbox>
              <w10:wrap anchorx="margin"/>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FB305E">
    <w:pPr>
      <w:pStyle w:val="a5"/>
      <w:jc w:val="center"/>
    </w:pPr>
    <w:r>
      <w:rPr>
        <w:noProof/>
        <w:lang w:val="en-US" w:bidi="ar-SA"/>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Text Box 10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36" o:spid="_x0000_s1039" type="#_x0000_t202" style="position:absolute;left:0;text-align:left;margin-left:0;margin-top:0;width:2in;height:2in;z-index:25166438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" filled="f" stroked="f">
              <v:textbox style="mso-fit-shape-to-text:t" inset="0,0,0,0">
                <w:txbxContent>
                  <w:p w:rsidR="00BA3F0B" w:rsidRDefault="00827830">
                    <w:pPr>
                      <w:pStyle w:val="a5"/>
                    </w:pPr>
                    <w:r>
                      <w:rPr>
                        <w:rFonts w:hint="eastAsia"/>
                      </w:rPr>
                      <w:fldChar w:fldCharType="begin"/>
                    </w:r>
                    <w:r>
                      <w:rPr>
                        <w:rFonts w:hint="eastAsia"/>
                      </w:rPr>
                      <w:instrText xml:space="preserve"> PAGE  \* MERGEFORMAT </w:instrText>
                    </w:r>
                    <w:r>
                      <w:rPr>
                        <w:rFonts w:hint="eastAsia"/>
                      </w:rPr>
                      <w:fldChar w:fldCharType="separate"/>
                    </w:r>
                    <w:r>
                      <w:rPr>
                        <w:rFonts w:hint="eastAsia"/>
                      </w:rPr>
                      <w:t>15</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7830" w:rsidRDefault="00827830">
      <w:r>
        <w:separator/>
      </w:r>
    </w:p>
  </w:footnote>
  <w:footnote w:type="continuationSeparator" w:id="0">
    <w:p w:rsidR="00827830" w:rsidRDefault="0082783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827830">
    <w:pPr>
      <w:pStyle w:val="a6"/>
      <w:pBdr>
        <w:bottom w:val="single" w:sz="4" w:space="1" w:color="000000"/>
      </w:pBdr>
      <w:jc w:val="both"/>
      <w:rPr>
        <w:lang w:val="en-US"/>
      </w:rPr>
    </w:pPr>
    <w:r>
      <w:rPr>
        <w:rFonts w:hint="eastAsia"/>
        <w:lang w:val="en-US"/>
      </w:rPr>
      <w:t>无锡市自然资源和规划局</w:t>
    </w:r>
    <w:r>
      <w:t>2026</w:t>
    </w:r>
    <w:r>
      <w:t>年度部门预算公开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3F0B" w:rsidRDefault="00BA3F0B">
    <w:pPr>
      <w:pStyle w:val="a6"/>
      <w:pBdr>
        <w:bottom w:val="none" w:sz="0" w:space="1" w:color="auto"/>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0"/>
  <w:autoHyphenation/>
  <w:noPunctuationKerning/>
  <w:characterSpacingControl w:val="doNotCompress"/>
  <w:hdrShapeDefaults>
    <o:shapedefaults v:ext="edit" spidmax="2049"/>
  </w:hdrShapeDefaults>
  <w:footnotePr>
    <w:footnote w:id="-1"/>
    <w:footnote w:id="0"/>
  </w:footnotePr>
  <w:endnotePr>
    <w:endnote w:id="-1"/>
    <w:endnote w:id="0"/>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UwNWYwNGFmYzNiMTMwMzI4MzFhMzI2ZWRjOTFjMmMifQ=="/>
  </w:docVars>
  <w:rsids>
    <w:rsidRoot w:val="00BA3F0B"/>
    <w:rsid w:val="DBEED555"/>
    <w:rsid w:val="00064984"/>
    <w:rsid w:val="00071288"/>
    <w:rsid w:val="00071789"/>
    <w:rsid w:val="000F12AB"/>
    <w:rsid w:val="001C31F9"/>
    <w:rsid w:val="00407CA7"/>
    <w:rsid w:val="00413AD8"/>
    <w:rsid w:val="00671ED7"/>
    <w:rsid w:val="00672164"/>
    <w:rsid w:val="00827830"/>
    <w:rsid w:val="00867423"/>
    <w:rsid w:val="008B5B05"/>
    <w:rsid w:val="00925913"/>
    <w:rsid w:val="009965EA"/>
    <w:rsid w:val="00A61D7A"/>
    <w:rsid w:val="00A6752E"/>
    <w:rsid w:val="00BA3F0B"/>
    <w:rsid w:val="00BD7F33"/>
    <w:rsid w:val="00C15920"/>
    <w:rsid w:val="00C35C3A"/>
    <w:rsid w:val="00C82582"/>
    <w:rsid w:val="00F12F06"/>
    <w:rsid w:val="00FA3233"/>
    <w:rsid w:val="00FB305E"/>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11C07"/>
    <w:rsid w:val="05185546"/>
    <w:rsid w:val="052126A9"/>
    <w:rsid w:val="0524518E"/>
    <w:rsid w:val="05247FC3"/>
    <w:rsid w:val="05346113"/>
    <w:rsid w:val="05423E9C"/>
    <w:rsid w:val="05600A24"/>
    <w:rsid w:val="057525F6"/>
    <w:rsid w:val="057D4E99"/>
    <w:rsid w:val="05843580"/>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22688"/>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A333FC"/>
    <w:rsid w:val="08B16290"/>
    <w:rsid w:val="08BD1AAD"/>
    <w:rsid w:val="08D342E7"/>
    <w:rsid w:val="08E134F8"/>
    <w:rsid w:val="08FC0605"/>
    <w:rsid w:val="08FE52B0"/>
    <w:rsid w:val="090F5FB7"/>
    <w:rsid w:val="09165D85"/>
    <w:rsid w:val="092660BA"/>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BC505E"/>
    <w:rsid w:val="0DC6242A"/>
    <w:rsid w:val="0DD06A00"/>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0F0623A"/>
    <w:rsid w:val="10F845FF"/>
    <w:rsid w:val="11037A82"/>
    <w:rsid w:val="1106739D"/>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F1A6B"/>
    <w:rsid w:val="16971C37"/>
    <w:rsid w:val="16BC7A59"/>
    <w:rsid w:val="16BE14E7"/>
    <w:rsid w:val="16BE34FA"/>
    <w:rsid w:val="16E22E32"/>
    <w:rsid w:val="16ED632E"/>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9E971DB"/>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E4D1B"/>
    <w:rsid w:val="1D0F64B4"/>
    <w:rsid w:val="1D103F06"/>
    <w:rsid w:val="1D201166"/>
    <w:rsid w:val="1D3214B5"/>
    <w:rsid w:val="1D383DB3"/>
    <w:rsid w:val="1D387361"/>
    <w:rsid w:val="1D387D1B"/>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4421"/>
    <w:rsid w:val="1F8122F8"/>
    <w:rsid w:val="1F8B39C7"/>
    <w:rsid w:val="1F8C1569"/>
    <w:rsid w:val="1FA17CC2"/>
    <w:rsid w:val="1FD5645B"/>
    <w:rsid w:val="1FD866E0"/>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701F90"/>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AC083E"/>
    <w:rsid w:val="23C56A83"/>
    <w:rsid w:val="23CC14AA"/>
    <w:rsid w:val="23D87A5D"/>
    <w:rsid w:val="23F81D1C"/>
    <w:rsid w:val="23F87AE8"/>
    <w:rsid w:val="24004EF0"/>
    <w:rsid w:val="241C168B"/>
    <w:rsid w:val="242403FF"/>
    <w:rsid w:val="24361C71"/>
    <w:rsid w:val="2443382C"/>
    <w:rsid w:val="244706D0"/>
    <w:rsid w:val="244E4876"/>
    <w:rsid w:val="2455798C"/>
    <w:rsid w:val="246E4FE1"/>
    <w:rsid w:val="247771B1"/>
    <w:rsid w:val="24797436"/>
    <w:rsid w:val="24893698"/>
    <w:rsid w:val="248A0DA1"/>
    <w:rsid w:val="248B0DC9"/>
    <w:rsid w:val="24EF440E"/>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6CDC"/>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F036ED"/>
    <w:rsid w:val="35F11C61"/>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CC4FA5"/>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07AD9"/>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535C24"/>
    <w:rsid w:val="3E600BB4"/>
    <w:rsid w:val="3E8A2129"/>
    <w:rsid w:val="3E8C3990"/>
    <w:rsid w:val="3E917B3F"/>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2F185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DF5027"/>
    <w:rsid w:val="43F047E0"/>
    <w:rsid w:val="43FD6F00"/>
    <w:rsid w:val="440B02B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911A0"/>
    <w:rsid w:val="4E0D72D8"/>
    <w:rsid w:val="4E1F24C4"/>
    <w:rsid w:val="4E2F0959"/>
    <w:rsid w:val="4E383ED6"/>
    <w:rsid w:val="4E5172B9"/>
    <w:rsid w:val="4E560D60"/>
    <w:rsid w:val="4E564593"/>
    <w:rsid w:val="4E5A2684"/>
    <w:rsid w:val="4E703F51"/>
    <w:rsid w:val="4E905710"/>
    <w:rsid w:val="4E942C0A"/>
    <w:rsid w:val="4E98220D"/>
    <w:rsid w:val="4EA02FF7"/>
    <w:rsid w:val="4EB7399D"/>
    <w:rsid w:val="4ECD2716"/>
    <w:rsid w:val="4ED96B17"/>
    <w:rsid w:val="4EDA695D"/>
    <w:rsid w:val="4EE05B39"/>
    <w:rsid w:val="4EE54AFA"/>
    <w:rsid w:val="4EE73AF5"/>
    <w:rsid w:val="4EE84EA5"/>
    <w:rsid w:val="4EEE4AF5"/>
    <w:rsid w:val="4EF82E0F"/>
    <w:rsid w:val="4F0B544D"/>
    <w:rsid w:val="4F1E4B12"/>
    <w:rsid w:val="4F301FB1"/>
    <w:rsid w:val="4F3A2B02"/>
    <w:rsid w:val="4F4F7329"/>
    <w:rsid w:val="4F5260B5"/>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74C38"/>
    <w:rsid w:val="50E76F7B"/>
    <w:rsid w:val="50EB303A"/>
    <w:rsid w:val="51025571"/>
    <w:rsid w:val="510819A0"/>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CF7B42"/>
    <w:rsid w:val="51DC0DF8"/>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71534A"/>
    <w:rsid w:val="53720C63"/>
    <w:rsid w:val="53760DD8"/>
    <w:rsid w:val="537700D3"/>
    <w:rsid w:val="53811681"/>
    <w:rsid w:val="538A520F"/>
    <w:rsid w:val="538C6CFB"/>
    <w:rsid w:val="53933E3F"/>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F6951"/>
    <w:rsid w:val="54854CE2"/>
    <w:rsid w:val="548965FC"/>
    <w:rsid w:val="549F015A"/>
    <w:rsid w:val="54AD1A5F"/>
    <w:rsid w:val="54AF4755"/>
    <w:rsid w:val="54C761C0"/>
    <w:rsid w:val="54D730B0"/>
    <w:rsid w:val="54DD1143"/>
    <w:rsid w:val="54E7313B"/>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026EE"/>
    <w:rsid w:val="56745BC9"/>
    <w:rsid w:val="56CF2CD9"/>
    <w:rsid w:val="56CF2CF8"/>
    <w:rsid w:val="56D50BC3"/>
    <w:rsid w:val="56E34EAC"/>
    <w:rsid w:val="570203D1"/>
    <w:rsid w:val="571159E3"/>
    <w:rsid w:val="571D3ABE"/>
    <w:rsid w:val="571F6B7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B4981"/>
    <w:rsid w:val="5DAF2ED6"/>
    <w:rsid w:val="5DCD5EDE"/>
    <w:rsid w:val="5DDD01B0"/>
    <w:rsid w:val="5DE31BF8"/>
    <w:rsid w:val="5DEE4FE1"/>
    <w:rsid w:val="5DEE7E4B"/>
    <w:rsid w:val="5DF434DB"/>
    <w:rsid w:val="5E040F9B"/>
    <w:rsid w:val="5E163DAD"/>
    <w:rsid w:val="5E18199F"/>
    <w:rsid w:val="5E276BBA"/>
    <w:rsid w:val="5E4A34BA"/>
    <w:rsid w:val="5E555E36"/>
    <w:rsid w:val="5E572B7B"/>
    <w:rsid w:val="5E715DE0"/>
    <w:rsid w:val="5E817F26"/>
    <w:rsid w:val="5EA248D0"/>
    <w:rsid w:val="5EC875D4"/>
    <w:rsid w:val="5ED929BD"/>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D17A33"/>
    <w:rsid w:val="64DB0DE6"/>
    <w:rsid w:val="65192F42"/>
    <w:rsid w:val="651C413F"/>
    <w:rsid w:val="651F176C"/>
    <w:rsid w:val="652354FE"/>
    <w:rsid w:val="65243799"/>
    <w:rsid w:val="652A1A23"/>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915BCA"/>
    <w:rsid w:val="66A57E71"/>
    <w:rsid w:val="66A76320"/>
    <w:rsid w:val="66BD4460"/>
    <w:rsid w:val="66BD4681"/>
    <w:rsid w:val="66D37DBF"/>
    <w:rsid w:val="66D47A94"/>
    <w:rsid w:val="66D82ABA"/>
    <w:rsid w:val="66E4759D"/>
    <w:rsid w:val="67080774"/>
    <w:rsid w:val="67126F49"/>
    <w:rsid w:val="67195D19"/>
    <w:rsid w:val="672361E3"/>
    <w:rsid w:val="673212A8"/>
    <w:rsid w:val="67485617"/>
    <w:rsid w:val="674B4F4A"/>
    <w:rsid w:val="67586F6C"/>
    <w:rsid w:val="67625F8A"/>
    <w:rsid w:val="676A3DA6"/>
    <w:rsid w:val="67773A51"/>
    <w:rsid w:val="67835FB2"/>
    <w:rsid w:val="679805D8"/>
    <w:rsid w:val="679C3A68"/>
    <w:rsid w:val="67A46064"/>
    <w:rsid w:val="67A46EF4"/>
    <w:rsid w:val="67B16006"/>
    <w:rsid w:val="67BC3FEE"/>
    <w:rsid w:val="67C77CC2"/>
    <w:rsid w:val="67CA7544"/>
    <w:rsid w:val="67CF598F"/>
    <w:rsid w:val="67D477F8"/>
    <w:rsid w:val="67DA1F38"/>
    <w:rsid w:val="67E118CD"/>
    <w:rsid w:val="67FF7C3A"/>
    <w:rsid w:val="68052609"/>
    <w:rsid w:val="681E1B1C"/>
    <w:rsid w:val="6829477F"/>
    <w:rsid w:val="682A1883"/>
    <w:rsid w:val="682F4FA9"/>
    <w:rsid w:val="68323C50"/>
    <w:rsid w:val="68537E16"/>
    <w:rsid w:val="686332F5"/>
    <w:rsid w:val="68646588"/>
    <w:rsid w:val="68743ACA"/>
    <w:rsid w:val="687E7334"/>
    <w:rsid w:val="688232C2"/>
    <w:rsid w:val="68843A78"/>
    <w:rsid w:val="6892155A"/>
    <w:rsid w:val="689F0599"/>
    <w:rsid w:val="68B43376"/>
    <w:rsid w:val="68EE3897"/>
    <w:rsid w:val="68F053F6"/>
    <w:rsid w:val="68F43A1E"/>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4548A"/>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E2770"/>
    <w:rsid w:val="6F8776A7"/>
    <w:rsid w:val="6F957D21"/>
    <w:rsid w:val="6F9A1B5B"/>
    <w:rsid w:val="6FA57C2A"/>
    <w:rsid w:val="6FC22E70"/>
    <w:rsid w:val="6FD175F7"/>
    <w:rsid w:val="6FD95378"/>
    <w:rsid w:val="6FF47B92"/>
    <w:rsid w:val="6FFD1488"/>
    <w:rsid w:val="700B44C9"/>
    <w:rsid w:val="70115CB9"/>
    <w:rsid w:val="70173431"/>
    <w:rsid w:val="703C1CAA"/>
    <w:rsid w:val="703E1108"/>
    <w:rsid w:val="70460ECD"/>
    <w:rsid w:val="704B7EBD"/>
    <w:rsid w:val="7051053C"/>
    <w:rsid w:val="707F7FC1"/>
    <w:rsid w:val="70830694"/>
    <w:rsid w:val="7092075C"/>
    <w:rsid w:val="70A16710"/>
    <w:rsid w:val="70AF49AD"/>
    <w:rsid w:val="70B14136"/>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100E1C"/>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05098"/>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B6746"/>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B3D45"/>
    <w:rsid w:val="7D9C553A"/>
    <w:rsid w:val="7DBB346B"/>
    <w:rsid w:val="7DD0508B"/>
    <w:rsid w:val="7DE4119D"/>
    <w:rsid w:val="7DEE5B58"/>
    <w:rsid w:val="7DEF4E30"/>
    <w:rsid w:val="7E0B1390"/>
    <w:rsid w:val="7E2B13AE"/>
    <w:rsid w:val="7E676A56"/>
    <w:rsid w:val="7E690FF4"/>
    <w:rsid w:val="7E947A7E"/>
    <w:rsid w:val="7ED03245"/>
    <w:rsid w:val="7ED25E9B"/>
    <w:rsid w:val="7ED37D6E"/>
    <w:rsid w:val="7F0A51A4"/>
    <w:rsid w:val="7F1A0C40"/>
    <w:rsid w:val="7F332C78"/>
    <w:rsid w:val="7F3F5D11"/>
    <w:rsid w:val="7F486A87"/>
    <w:rsid w:val="7F7D2EBD"/>
    <w:rsid w:val="7F8846F0"/>
    <w:rsid w:val="7FA36CA7"/>
    <w:rsid w:val="7FAD2052"/>
    <w:rsid w:val="7FD34F08"/>
    <w:rsid w:val="7FD51EFD"/>
    <w:rsid w:val="7FE04F3E"/>
    <w:rsid w:val="7FEA3B6F"/>
    <w:rsid w:val="BAFFAB79"/>
  </w:rsids>
  <m:mathPr>
    <m:mathFont m:val="Cambria Math"/>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pPr>
      <w:ind w:left="-40"/>
      <w:outlineLvl w:val="0"/>
    </w:pPr>
    <w:rPr>
      <w:sz w:val="52"/>
      <w:szCs w:val="52"/>
    </w:rPr>
  </w:style>
  <w:style w:type="paragraph" w:styleId="2">
    <w:name w:val="heading 2"/>
    <w:basedOn w:val="a"/>
    <w:next w:val="a"/>
    <w:uiPriority w:val="1"/>
    <w:qFormat/>
    <w:pPr>
      <w:ind w:right="18"/>
      <w:jc w:val="center"/>
      <w:outlineLvl w:val="1"/>
    </w:pPr>
    <w:rPr>
      <w:sz w:val="44"/>
      <w:szCs w:val="44"/>
    </w:rPr>
  </w:style>
  <w:style w:type="paragraph" w:styleId="3">
    <w:name w:val="heading 3"/>
    <w:basedOn w:val="a"/>
    <w:next w:val="a"/>
    <w:uiPriority w:val="1"/>
    <w:qFormat/>
    <w:pPr>
      <w:ind w:left="1"/>
      <w:jc w:val="center"/>
      <w:outlineLvl w:val="2"/>
    </w:pPr>
    <w:rPr>
      <w:sz w:val="40"/>
      <w:szCs w:val="40"/>
    </w:rPr>
  </w:style>
  <w:style w:type="paragraph" w:styleId="4">
    <w:name w:val="heading 4"/>
    <w:basedOn w:val="a"/>
    <w:next w:val="a"/>
    <w:uiPriority w:val="1"/>
    <w:qFormat/>
    <w:pPr>
      <w:jc w:val="center"/>
      <w:outlineLvl w:val="3"/>
    </w:pPr>
    <w:rPr>
      <w:sz w:val="36"/>
      <w:szCs w:val="36"/>
    </w:rPr>
  </w:style>
  <w:style w:type="paragraph" w:styleId="5">
    <w:name w:val="heading 5"/>
    <w:basedOn w:val="a"/>
    <w:next w:val="a"/>
    <w:uiPriority w:val="1"/>
    <w:qFormat/>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uppressLineNumbers/>
      <w:spacing w:before="120" w:after="120"/>
    </w:pPr>
    <w:rPr>
      <w:i/>
      <w:iCs/>
      <w:sz w:val="24"/>
      <w:szCs w:val="24"/>
    </w:rPr>
  </w:style>
  <w:style w:type="paragraph" w:styleId="a4">
    <w:name w:val="Body Text"/>
    <w:basedOn w:val="a"/>
    <w:uiPriority w:val="1"/>
    <w:qFormat/>
    <w:rPr>
      <w:sz w:val="32"/>
      <w:szCs w:val="32"/>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qFormat/>
    <w:pPr>
      <w:pBdr>
        <w:bottom w:val="single" w:sz="6" w:space="1" w:color="000000"/>
      </w:pBdr>
      <w:tabs>
        <w:tab w:val="center" w:pos="4153"/>
        <w:tab w:val="right" w:pos="8306"/>
      </w:tabs>
      <w:snapToGrid w:val="0"/>
      <w:jc w:val="center"/>
    </w:pPr>
    <w:rPr>
      <w:sz w:val="18"/>
      <w:szCs w:val="18"/>
    </w:rPr>
  </w:style>
  <w:style w:type="paragraph" w:styleId="a7">
    <w:name w:val="List"/>
    <w:basedOn w:val="a4"/>
    <w:qFormat/>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编号符号"/>
    <w:qFormat/>
  </w:style>
  <w:style w:type="character" w:customStyle="1" w:styleId="aa">
    <w:name w:val="页眉 字符"/>
    <w:basedOn w:val="a0"/>
    <w:qFormat/>
    <w:rPr>
      <w:rFonts w:ascii="Arial Unicode MS" w:eastAsia="Arial Unicode MS" w:hAnsi="Arial Unicode MS" w:cs="Arial Unicode MS"/>
      <w:sz w:val="18"/>
      <w:szCs w:val="18"/>
      <w:lang w:val="zh-CN" w:bidi="zh-CN"/>
    </w:rPr>
  </w:style>
  <w:style w:type="character" w:customStyle="1" w:styleId="ab">
    <w:name w:val="页脚 字符"/>
    <w:basedOn w:val="a0"/>
    <w:qFormat/>
    <w:rPr>
      <w:rFonts w:ascii="Arial Unicode MS" w:eastAsia="Arial Unicode MS" w:hAnsi="Arial Unicode MS" w:cs="Arial Unicode MS"/>
      <w:sz w:val="18"/>
      <w:szCs w:val="18"/>
      <w:lang w:val="zh-CN" w:bidi="zh-CN"/>
    </w:rPr>
  </w:style>
  <w:style w:type="paragraph" w:customStyle="1" w:styleId="ac">
    <w:name w:val="标题样式"/>
    <w:basedOn w:val="a"/>
    <w:next w:val="a4"/>
    <w:qFormat/>
    <w:pPr>
      <w:keepNext/>
      <w:spacing w:before="240" w:after="120"/>
    </w:pPr>
    <w:rPr>
      <w:rFonts w:ascii="Liberation Sans" w:hAnsi="Liberation Sans"/>
      <w:sz w:val="28"/>
      <w:szCs w:val="28"/>
    </w:rPr>
  </w:style>
  <w:style w:type="paragraph" w:customStyle="1" w:styleId="ad">
    <w:name w:val="索引"/>
    <w:basedOn w:val="a"/>
    <w:qFormat/>
    <w:pPr>
      <w:suppressLineNumbers/>
    </w:pPr>
  </w:style>
  <w:style w:type="paragraph" w:customStyle="1" w:styleId="ae">
    <w:name w:val="页眉与页脚"/>
    <w:basedOn w:val="a"/>
    <w:qFormat/>
  </w:style>
  <w:style w:type="paragraph" w:customStyle="1" w:styleId="10">
    <w:name w:val="列出段落1"/>
    <w:basedOn w:val="a"/>
    <w:uiPriority w:val="1"/>
    <w:qFormat/>
    <w:pPr>
      <w:ind w:left="2039" w:hanging="782"/>
    </w:pPr>
  </w:style>
  <w:style w:type="paragraph" w:customStyle="1" w:styleId="TableParagraph">
    <w:name w:val="Table Paragraph"/>
    <w:basedOn w:val="a"/>
    <w:uiPriority w:val="1"/>
    <w:qFormat/>
    <w:rPr>
      <w:rFonts w:ascii="宋体" w:eastAsia="宋体" w:hAnsi="宋体" w:cs="宋体"/>
    </w:rPr>
  </w:style>
  <w:style w:type="paragraph" w:customStyle="1" w:styleId="af">
    <w:name w:val="表格内容"/>
    <w:basedOn w:val="a"/>
    <w:qFormat/>
    <w:pPr>
      <w:suppressLineNumbers/>
    </w:pPr>
  </w:style>
  <w:style w:type="paragraph" w:customStyle="1" w:styleId="af0">
    <w:name w:val="表格标题"/>
    <w:basedOn w:val="af"/>
    <w:qFormat/>
    <w:pPr>
      <w:jc w:val="center"/>
    </w:pPr>
    <w:rPr>
      <w:b/>
      <w:bCs/>
    </w:rPr>
  </w:style>
  <w:style w:type="paragraph" w:customStyle="1" w:styleId="af1">
    <w:name w:val="预格式化的文本"/>
    <w:basedOn w:val="a"/>
    <w:qFormat/>
    <w:rPr>
      <w:rFonts w:ascii="Liberation Mono" w:eastAsia="新宋体" w:hAnsi="Liberation Mono" w:cs="Liberation Mono"/>
      <w:sz w:val="20"/>
      <w:szCs w:val="20"/>
    </w:rPr>
  </w:style>
  <w:style w:type="table" w:customStyle="1" w:styleId="TableNormal">
    <w:name w:val="Table Normal"/>
    <w:uiPriority w:val="2"/>
    <w:unhideWhenUsed/>
    <w:qFormat/>
    <w:tblPr>
      <w:tblCellMar>
        <w:top w:w="0" w:type="dxa"/>
        <w:left w:w="0" w:type="dxa"/>
        <w:bottom w:w="0" w:type="dxa"/>
        <w:right w:w="0"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uiPriority="1" w:qFormat="1"/>
    <w:lsdException w:name="heading 1" w:uiPriority="1" w:qFormat="1"/>
    <w:lsdException w:name="heading 2" w:uiPriority="1" w:qFormat="1"/>
    <w:lsdException w:name="heading 3" w:uiPriority="1" w:qFormat="1"/>
    <w:lsdException w:name="heading 4" w:uiPriority="1" w:qFormat="1"/>
    <w:lsdException w:name="heading 5" w:uiPriority="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qFormat="1"/>
    <w:lsdException w:name="caption" w:qFormat="1"/>
    <w:lsdException w:name="List" w:qFormat="1"/>
    <w:lsdException w:name="Title" w:qFormat="1"/>
    <w:lsdException w:name="Default Paragraph Font" w:uiPriority="1" w:unhideWhenUsed="1" w:qFormat="1"/>
    <w:lsdException w:name="Body Text" w:uiPriority="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uiPriority w:val="1"/>
    <w:qFormat/>
    <w:pPr>
      <w:widowControl w:val="0"/>
      <w:suppressAutoHyphens/>
    </w:pPr>
    <w:rPr>
      <w:rFonts w:ascii="Arial Unicode MS" w:eastAsia="Arial Unicode MS" w:hAnsi="Arial Unicode MS" w:cs="Arial Unicode MS"/>
      <w:sz w:val="22"/>
      <w:szCs w:val="22"/>
      <w:lang w:val="zh-CN" w:bidi="zh-CN"/>
    </w:rPr>
  </w:style>
  <w:style w:type="paragraph" w:styleId="1">
    <w:name w:val="heading 1"/>
    <w:basedOn w:val="a"/>
    <w:next w:val="a"/>
    <w:uiPriority w:val="1"/>
    <w:qFormat/>
    <w:pPr>
      <w:ind w:left="-40"/>
      <w:outlineLvl w:val="0"/>
    </w:pPr>
    <w:rPr>
      <w:sz w:val="52"/>
      <w:szCs w:val="52"/>
    </w:rPr>
  </w:style>
  <w:style w:type="paragraph" w:styleId="2">
    <w:name w:val="heading 2"/>
    <w:basedOn w:val="a"/>
    <w:next w:val="a"/>
    <w:uiPriority w:val="1"/>
    <w:qFormat/>
    <w:pPr>
      <w:ind w:right="18"/>
      <w:jc w:val="center"/>
      <w:outlineLvl w:val="1"/>
    </w:pPr>
    <w:rPr>
      <w:sz w:val="44"/>
      <w:szCs w:val="44"/>
    </w:rPr>
  </w:style>
  <w:style w:type="paragraph" w:styleId="3">
    <w:name w:val="heading 3"/>
    <w:basedOn w:val="a"/>
    <w:next w:val="a"/>
    <w:uiPriority w:val="1"/>
    <w:qFormat/>
    <w:pPr>
      <w:ind w:left="1"/>
      <w:jc w:val="center"/>
      <w:outlineLvl w:val="2"/>
    </w:pPr>
    <w:rPr>
      <w:sz w:val="40"/>
      <w:szCs w:val="40"/>
    </w:rPr>
  </w:style>
  <w:style w:type="paragraph" w:styleId="4">
    <w:name w:val="heading 4"/>
    <w:basedOn w:val="a"/>
    <w:next w:val="a"/>
    <w:uiPriority w:val="1"/>
    <w:qFormat/>
    <w:pPr>
      <w:jc w:val="center"/>
      <w:outlineLvl w:val="3"/>
    </w:pPr>
    <w:rPr>
      <w:sz w:val="36"/>
      <w:szCs w:val="36"/>
    </w:rPr>
  </w:style>
  <w:style w:type="paragraph" w:styleId="5">
    <w:name w:val="heading 5"/>
    <w:basedOn w:val="a"/>
    <w:next w:val="a"/>
    <w:uiPriority w:val="1"/>
    <w:qFormat/>
    <w:pPr>
      <w:ind w:left="112"/>
      <w:outlineLvl w:val="4"/>
    </w:pPr>
    <w:rPr>
      <w:sz w:val="33"/>
      <w:szCs w:val="33"/>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suppressLineNumbers/>
      <w:spacing w:before="120" w:after="120"/>
    </w:pPr>
    <w:rPr>
      <w:i/>
      <w:iCs/>
      <w:sz w:val="24"/>
      <w:szCs w:val="24"/>
    </w:rPr>
  </w:style>
  <w:style w:type="paragraph" w:styleId="a4">
    <w:name w:val="Body Text"/>
    <w:basedOn w:val="a"/>
    <w:uiPriority w:val="1"/>
    <w:qFormat/>
    <w:rPr>
      <w:sz w:val="32"/>
      <w:szCs w:val="32"/>
    </w:rPr>
  </w:style>
  <w:style w:type="paragraph" w:styleId="a5">
    <w:name w:val="footer"/>
    <w:basedOn w:val="a"/>
    <w:qFormat/>
    <w:pPr>
      <w:tabs>
        <w:tab w:val="center" w:pos="4153"/>
        <w:tab w:val="right" w:pos="8306"/>
      </w:tabs>
      <w:snapToGrid w:val="0"/>
    </w:pPr>
    <w:rPr>
      <w:sz w:val="18"/>
      <w:szCs w:val="18"/>
    </w:rPr>
  </w:style>
  <w:style w:type="paragraph" w:styleId="a6">
    <w:name w:val="header"/>
    <w:basedOn w:val="a"/>
    <w:qFormat/>
    <w:pPr>
      <w:pBdr>
        <w:bottom w:val="single" w:sz="6" w:space="1" w:color="000000"/>
      </w:pBdr>
      <w:tabs>
        <w:tab w:val="center" w:pos="4153"/>
        <w:tab w:val="right" w:pos="8306"/>
      </w:tabs>
      <w:snapToGrid w:val="0"/>
      <w:jc w:val="center"/>
    </w:pPr>
    <w:rPr>
      <w:sz w:val="18"/>
      <w:szCs w:val="18"/>
    </w:rPr>
  </w:style>
  <w:style w:type="paragraph" w:styleId="a7">
    <w:name w:val="List"/>
    <w:basedOn w:val="a4"/>
    <w:qFormat/>
  </w:style>
  <w:style w:type="table" w:styleId="a8">
    <w:name w:val="Table Grid"/>
    <w:basedOn w:val="a1"/>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9">
    <w:name w:val="编号符号"/>
    <w:qFormat/>
  </w:style>
  <w:style w:type="character" w:customStyle="1" w:styleId="aa">
    <w:name w:val="页眉 字符"/>
    <w:basedOn w:val="a0"/>
    <w:qFormat/>
    <w:rPr>
      <w:rFonts w:ascii="Arial Unicode MS" w:eastAsia="Arial Unicode MS" w:hAnsi="Arial Unicode MS" w:cs="Arial Unicode MS"/>
      <w:sz w:val="18"/>
      <w:szCs w:val="18"/>
      <w:lang w:val="zh-CN" w:bidi="zh-CN"/>
    </w:rPr>
  </w:style>
  <w:style w:type="character" w:customStyle="1" w:styleId="ab">
    <w:name w:val="页脚 字符"/>
    <w:basedOn w:val="a0"/>
    <w:qFormat/>
    <w:rPr>
      <w:rFonts w:ascii="Arial Unicode MS" w:eastAsia="Arial Unicode MS" w:hAnsi="Arial Unicode MS" w:cs="Arial Unicode MS"/>
      <w:sz w:val="18"/>
      <w:szCs w:val="18"/>
      <w:lang w:val="zh-CN" w:bidi="zh-CN"/>
    </w:rPr>
  </w:style>
  <w:style w:type="paragraph" w:customStyle="1" w:styleId="ac">
    <w:name w:val="标题样式"/>
    <w:basedOn w:val="a"/>
    <w:next w:val="a4"/>
    <w:qFormat/>
    <w:pPr>
      <w:keepNext/>
      <w:spacing w:before="240" w:after="120"/>
    </w:pPr>
    <w:rPr>
      <w:rFonts w:ascii="Liberation Sans" w:hAnsi="Liberation Sans"/>
      <w:sz w:val="28"/>
      <w:szCs w:val="28"/>
    </w:rPr>
  </w:style>
  <w:style w:type="paragraph" w:customStyle="1" w:styleId="ad">
    <w:name w:val="索引"/>
    <w:basedOn w:val="a"/>
    <w:qFormat/>
    <w:pPr>
      <w:suppressLineNumbers/>
    </w:pPr>
  </w:style>
  <w:style w:type="paragraph" w:customStyle="1" w:styleId="ae">
    <w:name w:val="页眉与页脚"/>
    <w:basedOn w:val="a"/>
    <w:qFormat/>
  </w:style>
  <w:style w:type="paragraph" w:customStyle="1" w:styleId="10">
    <w:name w:val="列出段落1"/>
    <w:basedOn w:val="a"/>
    <w:uiPriority w:val="1"/>
    <w:qFormat/>
    <w:pPr>
      <w:ind w:left="2039" w:hanging="782"/>
    </w:pPr>
  </w:style>
  <w:style w:type="paragraph" w:customStyle="1" w:styleId="TableParagraph">
    <w:name w:val="Table Paragraph"/>
    <w:basedOn w:val="a"/>
    <w:uiPriority w:val="1"/>
    <w:qFormat/>
    <w:rPr>
      <w:rFonts w:ascii="宋体" w:eastAsia="宋体" w:hAnsi="宋体" w:cs="宋体"/>
    </w:rPr>
  </w:style>
  <w:style w:type="paragraph" w:customStyle="1" w:styleId="af">
    <w:name w:val="表格内容"/>
    <w:basedOn w:val="a"/>
    <w:qFormat/>
    <w:pPr>
      <w:suppressLineNumbers/>
    </w:pPr>
  </w:style>
  <w:style w:type="paragraph" w:customStyle="1" w:styleId="af0">
    <w:name w:val="表格标题"/>
    <w:basedOn w:val="af"/>
    <w:qFormat/>
    <w:pPr>
      <w:jc w:val="center"/>
    </w:pPr>
    <w:rPr>
      <w:b/>
      <w:bCs/>
    </w:rPr>
  </w:style>
  <w:style w:type="paragraph" w:customStyle="1" w:styleId="af1">
    <w:name w:val="预格式化的文本"/>
    <w:basedOn w:val="a"/>
    <w:qFormat/>
    <w:rPr>
      <w:rFonts w:ascii="Liberation Mono" w:eastAsia="新宋体" w:hAnsi="Liberation Mono" w:cs="Liberation Mono"/>
      <w:sz w:val="20"/>
      <w:szCs w:val="20"/>
    </w:rPr>
  </w:style>
  <w:style w:type="table" w:customStyle="1" w:styleId="TableNormal">
    <w:name w:val="Table Normal"/>
    <w:uiPriority w:val="2"/>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openxmlformats.org/officeDocument/2006/relationships/footer" Target="footer9.xml"/><Relationship Id="rId26" Type="http://schemas.openxmlformats.org/officeDocument/2006/relationships/fontTable" Target="fontTable.xml"/><Relationship Id="rId3" Type="http://schemas.microsoft.com/office/2007/relationships/stylesWithEffects" Target="stylesWithEffects.xml"/><Relationship Id="rId21" Type="http://schemas.openxmlformats.org/officeDocument/2006/relationships/footer" Target="footer12.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footer" Target="footer8.xml"/><Relationship Id="rId25"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footer" Target="footer7.xml"/><Relationship Id="rId20"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image" Target="media/image1.jpeg"/><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4.xml"/><Relationship Id="rId10" Type="http://schemas.openxmlformats.org/officeDocument/2006/relationships/footer" Target="footer1.xml"/><Relationship Id="rId19" Type="http://schemas.openxmlformats.org/officeDocument/2006/relationships/footer" Target="foot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18</Pages>
  <Words>3702</Words>
  <Characters>21105</Characters>
  <Application>Microsoft Office Word</Application>
  <DocSecurity>0</DocSecurity>
  <Lines>175</Lines>
  <Paragraphs>49</Paragraphs>
  <ScaleCrop>false</ScaleCrop>
  <Company>Microsoft</Company>
  <LinksUpToDate>false</LinksUpToDate>
  <CharactersWithSpaces>24758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部门预算公开</dc:title>
  <dc:creator>陈长军(本处室套红)</dc:creator>
  <cp:lastModifiedBy>李萍[综合管理]</cp:lastModifiedBy>
  <cp:revision>2</cp:revision>
  <dcterms:created xsi:type="dcterms:W3CDTF">2026-02-12T02:11:00Z</dcterms:created>
  <dcterms:modified xsi:type="dcterms:W3CDTF">2026-02-12T02:11:00Z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2052-12.1.0.21171</vt:lpwstr>
  </property>
  <property fmtid="{D5CDD505-2E9C-101B-9397-08002B2CF9AE}" pid="6" name="LastSaved">
    <vt:filetime>2021-04-15T00:00:00Z</vt:filetime>
  </property>
  <property fmtid="{D5CDD505-2E9C-101B-9397-08002B2CF9AE}" pid="7" name="KSOTemplateDocerSaveRecord">
    <vt:lpwstr>eyJoZGlkIjoiODM5ZWJjZGI4ZjI3OTI1NThiNGI5MDJhMjg2MWRmMjIiLCJ1c2VySWQiOiIyNzcxMjA5MjIifQ==</vt:lpwstr>
  </property>
</Properties>
</file>